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https://www.autoritedelaconcurrence.fr/fr/decision-de-controle-des-concentrations/relative-la-prise-de-controle-par-la-societe-dexploitation</w:t>
      </w:r>
    </w:p>
    <w:p>
      <w:r>
        <w:t>Pages translated : 5</w:t>
      </w:r>
    </w:p>
    <w:p/>
    <w:p>
      <w:r>
        <w:rPr>
          <w:b/>
        </w:rPr>
        <w:t>[Pages 1–3]</w:t>
      </w:r>
    </w:p>
    <w:p>
      <w:r>
        <w:t xml:space="preserve">FRENCH REPUBLIC  </w:t>
        <w:br/>
        <w:t xml:space="preserve">Decision No. 10-DCC-121 of September 14, 2010  </w:t>
        <w:br/>
        <w:t xml:space="preserve">regarding the acquisition of control by the operating company Amidis and  </w:t>
        <w:br/>
        <w:t xml:space="preserve">the companies Gemila&amp;Cie and Rotonde  </w:t>
        <w:br/>
        <w:t xml:space="preserve">The Competition Authority,  </w:t>
        <w:br/>
        <w:t xml:space="preserve">Having regard to the notification file submitted in full to the concentrations service on August 10, 2010,  </w:t>
        <w:br/>
        <w:t xml:space="preserve">regarding the acquisition of control by the operating company Amidis and the companies  </w:t>
        <w:br/>
        <w:t xml:space="preserve">Gemila&amp;Cie and Rotonde, formalized by the conditional transfer agreement of social rights;  </w:t>
        <w:br/>
        <w:t xml:space="preserve">Having regard to Book IV of the Commercial Code relating to price freedom and competition, and  </w:t>
        <w:br/>
        <w:t xml:space="preserve">notably its Articles L. 430-1 to L. 430-7;  </w:t>
        <w:br/>
        <w:t xml:space="preserve">Adopts the following decision:  </w:t>
        <w:br/>
        <w:t xml:space="preserve">I. The concerned companies and the operation  </w:t>
        <w:br/>
        <w:t xml:space="preserve">1. The operating company Amidis and Compagnie (hereinafter "Amidis") is a simplified joint-stock company, a subsidiary of the Carrefour group. The Carrefour group is a French distribution group predominantly focused on food, operating retail stores. In France, it operates hypermarkets under the Carrefour and Champion brands and supermarkets under the Champion and Carrefour Market brands. The Carrefour group plans to gradually replace the Champion brand with the Carrefour or Carrefour Market brand. It also operates convenience stores under the Shopi, 8 à Huit, Marché Plus, and Proxi brands, as well as discount stores under the ED and Dia brands. In 2009, the Carrefour group achieved a total worldwide turnover excluding taxes of approximately 86 billion euros, of which approximately 34 billion euros was in France.  </w:t>
        <w:br/>
        <w:t xml:space="preserve">2. The targets of the operation are the companies Gemila&amp;Cie and Rotonde. Gemila&amp;Cie (hereinafter "Gemila") is a civil investment company engaged in the holding and management of securities and the operation of real estate assets and rights. Its capital is entirely held by three members of the Lamige family. Gemila holds only a single stake, namely 12% of the capital of the company Rotonde. The simplified joint-stock company Rotonde (hereinafter "Rotonde") is engaged in the operation of a business establishment of the supermarket type with a sales area of 2,000 m² under the Champion brand or any other brand of the Carrefour group, and an adjoining service station, located in Aytre in the department of Charente-Maritime. This store obtained authorization from the Departmental Commercial Equipment Commission to extend the sales area by 494 m², bringing it to 2,494 m². The capital of Rotonde is distributed among Mr. Eric Lamige (with 38% of the capital), Profidis (a subsidiary of the Carrefour group, with 45% of the capital), Amidis (5% of the capital), and Gemila (12% of the capital). Rotonde is thus equally owned by the Lamige partners and the Carrefour group. In 2009, the target companies achieved a worldwide and French turnover excluding taxes of approximately 22 million euros.  </w:t>
        <w:br/>
        <w:t xml:space="preserve">4. Under the articles of association of the company Rotonde, the Lamige partners and the Carrefour group exercise joint control over it. Following the operation, Amidis will acquire the entirety of the capital of the company Gemila and the 38% of the capital of Rotonde previously held by Mr. Eric Lamige. The total capital of Gemila and Rotonde will thus be indirectly held by the Carrefour group.  </w:t>
        <w:br/>
        <w:t xml:space="preserve">5. Insofar as it results in the acquisition of control of Gemila and the transition from joint control to exclusive control of the company Rotonde, the operation constitutes a concentration within the meaning of Article L. 430-1 of the Commercial Code. Given the turnover of the concerned companies, it does not have a community dimension. However, the control thresholds applicable to retail trade mentioned in point II of Article L. 430-2 of the Commercial Code are exceeded. This operation is therefore subject to the provisions of Articles L. 430-3 and following of the Commercial Code relating to economic concentration.  </w:t>
        <w:br/>
        <w:t xml:space="preserve">II. Delimitation of relevant markets  </w:t>
        <w:br/>
        <w:t xml:space="preserve">1. The parties are simultaneously active in the food distribution sector in the department of Charente-Maritime.  </w:t>
        <w:br/>
        <w:t>2. According to the consistent practice of national and community competition authorities, two categories of markets can be delineated in the food distribution sector. These are, on the one hand, the "downstream" markets, of a local dimension, which bring together retail companies and consumers for the sale of consumer goods, and, on the other hand, the "upstream" markets for supplying retail companies with everyday consumer goods, of a national dimension.</w:t>
      </w:r>
    </w:p>
    <w:p>
      <w:r>
        <w:t xml:space="preserve">A. DOWNSTREAM FOOD DISTRIBUTION MARKETS  </w:t>
        <w:br/>
        <w:t xml:space="preserve">1. SERVICE MARKETS  </w:t>
        <w:br/>
        <w:t xml:space="preserve">8. Regarding the retail sale of everyday consumer goods, competition authorities, both at the community and national levels, have distinguished six categories of commerce using several criteria, including the size of the stores, their sales techniques, their accessibility, the nature of the service provided, and the range of products offered: (i) hypermarkets, (ii) supermarkets, (iii) specialized trade, (iv) small retail trade, (v) discount stores, (vi) mail order sales.  </w:t>
        <w:br/>
        <w:t xml:space="preserve">9. Hypermarkets are usually defined as food-dominant stores with a sales area equal to or greater than 2,500 m². Supermarkets are usually defined as having a sales area of less than 2,500 m² and greater than 400 m². However, it should be noted that these thresholds must be used with caution and may be adapted to the specific case, given that stores whose area is close to a threshold, either below or above, may be in direct competition in practice.  </w:t>
        <w:br/>
        <w:t xml:space="preserve">10. In this case, the store subject to the operation occupies a current sales area of 2,000 m² and falls into the category of supermarkets. However, due to the proximity of the sales area to the threshold distinguishing supermarkets from hypermarkets, particularly after the implementation of the extension of 494 m² of the sales area, it will be taken into account in the competitive analysis that the concerned Champion store may be in direct competition with the hypermarkets in the area.  </w:t>
        <w:br/>
        <w:t xml:space="preserve">2. GEOGRAPHICAL MARKETS  </w:t>
        <w:br/>
        <w:t xml:space="preserve">11. In its recent decisions regarding operations concerning hypermarkets or supermarkets, the Competition Authority has recalled that two types of markets are usually distinguished, based on catchment areas:  </w:t>
        <w:br/>
        <w:t xml:space="preserve">- a first market where the demand from consumers in an area meets the supply of hypermarkets to which they have access within less than 30 minutes of driving and which are, from their point of view, substitutable for each other;  </w:t>
        <w:br/>
        <w:t xml:space="preserve">- a second market where the demand from consumers meets the supply of supermarkets and equivalent forms of commerce, located within less than 15 minutes of driving time. These latter forms of commerce may include, in addition to supermarkets, hypermarkets located near consumers and discount stores.  </w:t>
        <w:br/>
        <w:t xml:space="preserve">1 See the decision of the Competition Authority No. 10-DCC-58 of June 15, 2010, regarding the joint acquisition of control of the company Isoma SAS by the company ITM Entreprises; decision No. 09-DCC-04 of April 29, 2009, regarding the acquisition of control of the company Noukat by the operating company Amidis &amp; Cie SAS, a subsidiary of the Carrefour Group.  </w:t>
        <w:br/>
        <w:t xml:space="preserve">2 See for example the decision of the European Commission of April 4, 2006, COMP/M. 4096 – Carrefour/Hyparlo.  </w:t>
        <w:br/>
        <w:t>3 See the decisions of the Competition Authority No. 09-DCC-24 of July 23, 2009, Floritine/C.S.F; 09-DCC-10 of May 28, 2009, Frandis/Financière Perdis; 09-DCC-06 of May 20, 2009, Evolis/ITM; 09-DCC-04 of April 29, 2009, cited above.</w:t>
      </w:r>
    </w:p>
    <w:p>
      <w:r>
        <w:rPr>
          <w:b/>
        </w:rPr>
        <w:t>[Pages 4–5]</w:t>
      </w:r>
    </w:p>
    <w:p>
      <w:r>
        <w:t>12. Other criteria may nevertheless be taken into account to assess the impact of a concentration on the competitive situation in retail distribution markets, which may lead to refining, in the specific case, the usual delineations presented above.</w:t>
      </w:r>
    </w:p>
    <w:p>
      <w:r>
        <w:t>13. In the specific case, the geographical density of the supply in the concerned area and the proximity of the sales area of the target store to that usually recognized for hypermarkets leads to simultaneously analyzing a catchment area of 15 minutes around Aytre including hypermarkets, supermarkets, and discounters, as well as a catchment area of 30 minutes around the town of Aytre considering the presence of hypermarkets.</w:t>
      </w:r>
    </w:p>
    <w:p>
      <w:r>
        <w:t>B. UPSTREAM SUPPLY MARKETS</w:t>
      </w:r>
    </w:p>
    <w:p>
      <w:r>
        <w:t>14. Regarding the "upstream" supply markets, the Commission, in its decision M. 2115 Carrefour/GB of September 28, 2000, found that these markets include "the sale of everyday consumer goods by producers to customers such as wholesalers, retailers, or other businesses (for example, cafés, hotels, restaurants). The Commission acknowledged that it is a market distribution by product group that is generally considered the best." The French decision-making practice adopts this definition.</w:t>
      </w:r>
    </w:p>
    <w:p>
      <w:r>
        <w:t>15. Regarding the geographical dimension of these supply markets, the European Commission has recognized the existence of national markets by major product groups, a delineation followed by national authorities.</w:t>
      </w:r>
    </w:p>
    <w:p>
      <w:r>
        <w:t>16. There is no reason to challenge these delineations in the present decision.</w:t>
      </w:r>
    </w:p>
    <w:p>
      <w:r>
        <w:t>III. Competitive Analysis</w:t>
      </w:r>
    </w:p>
    <w:p>
      <w:r>
        <w:t>17. The competitive analysis is conducted based on the locations and sales areas of stores provided by the parties.</w:t>
      </w:r>
    </w:p>
    <w:p>
      <w:r>
        <w:t>18. The market comprising all hypermarkets, supermarkets, and discount stores located within a 15-minute travel radius around Aytre represents a sales area of over 47,500 m². With 2,494 m², the target store under the Champion brand represents 5.2% of the market. With the other stores of the group located in this area, the group's market share will rise to 45.5%.</w:t>
      </w:r>
    </w:p>
    <w:p>
      <w:r>
        <w:t>19. In this 15-minute area, there are two hypermarkets of the Leclerc group (representing 21% of the sales areas), three supermarkets, and one discount store of the Intermarché group (13% of the sales areas) and two supermarkets and two discount stores of the Casino group (10% of the sales areas).</w:t>
      </w:r>
    </w:p>
    <w:p>
      <w:r>
        <w:t>20. The market comprising only the hypermarkets located in a catchment area of 30 minutes around Aytre represents a commercial sales area of over 45,000 m². With 2,494 m², the sales area of the target store will represent approximately 5.5% of this total. In addition to the target, three hypermarkets under the Carrefour brand are present in this area. They together represent a sales area of 17,838 m². With a sales area of approximately 20,000 m², the cumulative market share of the stores under the Carrefour group brands will be nearly 45%.</w:t>
      </w:r>
    </w:p>
    <w:p>
      <w:r>
        <w:t>21. In the considered catchment area, the Carrefour group must also face competition from competing hypermarkets belonging to major groups such as the Leclerc group (34% of the sales areas), the Super U group (12% of the market), and the Intermarché group (9% of the market).</w:t>
      </w:r>
    </w:p>
    <w:p>
      <w:r>
        <w:t>22. Regarding the upstream supply markets, the operation, limited to one store, is not likely to significantly strengthen the purchasing power of the Carrefour group at the national level, across all products as well as by major product groups.</w:t>
      </w:r>
    </w:p>
    <w:p>
      <w:r>
        <w:t>DECIDES</w:t>
      </w:r>
    </w:p>
    <w:p>
      <w:r>
        <w:t>Sole Article: The operation notified under number 10-0129 is authorized.</w:t>
      </w:r>
    </w:p>
    <w:p>
      <w: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