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https://www.autoritedelaconcurrence.fr/fr/decision-de-controle-des-concentrations/relative-la-prise-de-controle-par-la-societe-franprix</w:t>
      </w:r>
    </w:p>
    <w:p>
      <w:r>
        <w:t>Pages translated : 8</w:t>
      </w:r>
    </w:p>
    <w:p/>
    <w:p>
      <w:r>
        <w:rPr>
          <w:b/>
        </w:rPr>
        <w:t>[Pages 1–3]</w:t>
      </w:r>
    </w:p>
    <w:p>
      <w:r>
        <w:t xml:space="preserve">FRENCH REPUBLIC  </w:t>
        <w:br/>
        <w:t xml:space="preserve">Decision No. 14-DCC-11 of January 28, 2014  </w:t>
        <w:br/>
        <w:t>regarding the acquisition of control by the company Franprix Leader Price Holding of 47 retail stores primarily focused on food Le Mutant and 22 butcher shop businesses</w:t>
      </w:r>
    </w:p>
    <w:p>
      <w:r>
        <w:t xml:space="preserve">The Competition Authority,  </w:t>
        <w:br/>
        <w:t xml:space="preserve">Having regard to the notification file submitted in full to the merger service on December 11, 2013, regarding the acquisition of control of 47 retail stores primarily focused on food and 22 butcher shop businesses by the company Franprix Leader Price Holding ("FLPH"), formalized by a memorandum of understanding concluded on October 25, 2013;  </w:t>
        <w:br/>
        <w:t xml:space="preserve">Having regard to Book IV of the Commercial Code relating to the freedom of prices and competition, and in particular its Articles L. 430-1 to L. 430-7;  </w:t>
        <w:br/>
        <w:t xml:space="preserve">Having regard to the commitments presented on January 14, 2014 by the notifying party;  </w:t>
        <w:br/>
        <w:t xml:space="preserve">Having regard to the additional elements transmitted by the parties during the investigation;  </w:t>
        <w:br/>
        <w:t>Adopts the following decision:</w:t>
      </w:r>
    </w:p>
    <w:p>
      <w:r>
        <w:t xml:space="preserve">I. The concerned companies and the operation  </w:t>
        <w:br/>
        <w:t>1. The company Franprix Leader Price Holding (hereinafter "FPLPH") is a subsidiary of the Casino Guichard Perrachon group (hereinafter "Casino"), whose main purpose is to acquire stakes in companies operating stores under the Franprix and Leader Price brands. The Casino group, the third largest player in the French food distribution sector, manages a network of over 12,000 stores worldwide (hypermarkets, supermarkets, convenience stores, discount stores) under brands including Géant Casino, Franprix, Casino Supermarché, Petit Casino, Casino Shop, Casino Shopping, Spar, Vival, Monoprix, and Leader Price. It is also present in the online distribution sector of non-food products with the Cdiscount brand. The Casino group is controlled by the company Euris, which is itself controlled by Mr. Jean-Charles Naouri.</w:t>
      </w:r>
    </w:p>
    <w:p>
      <w:r>
        <w:t>2. The targets, namely 47 retail stores primarily focused on food1 operated under the "Le Mutant" brand and 22 butcher shop businesses operated under the "Rosbif" brand2, are currently controlled by the Coopérateurs de Normandie-Picardie, a regional cooperative active in the west of France.</w:t>
      </w:r>
    </w:p>
    <w:p>
      <w:r>
        <w:t>3. The transaction, formalized by a memorandum of understanding dated October 25, 2013, involves the transfer by the cooperative Les Coopérateurs de Normandie-Picardie to FLPH of the business assets of 47 retail stores primarily focused on food and 22 butcher shops, as well as the premises of twelve of the transferred stores3. Insofar as it results in the exclusive control of 47 retail stores primarily focused on food and 22 butcher shop businesses by the company FLPH, the operation constitutes a concentration operation within the meaning of Article L. 430-1 of the Commercial Code.</w:t>
      </w:r>
    </w:p>
    <w:p>
      <w:r>
        <w:t>4. The concerned companies operate several retail stores and together achieve a total worldwide turnover of more than 75 million euros (Casino group: 41.9 billion euros for the fiscal year ending December 31, 2012; the target business assets: […] euros for the same fiscal year). They achieve in France, in the retail sector, a turnover exceeding 15 million euros (Casino group: 18.4 billion euros for the fiscal year ending December 31, 2012; the target business assets: […] euros for the same fiscal year).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22 butcher shop businesses are all located within the target supermarkets. Only three of these butcher shop businesses have a specific sales area (a cutting and sales area), while the sale of products from the other 19 is carried out via refrigerated shelves within the "Le Mutant" supermarkets. In any case, the supply from the 22 butcher shop businesses must be considered an integral part of that of the acquired supermarkets and will not be subject to a specific competitive analysis in this decision.  </w:t>
        <w:br/>
        <w:t xml:space="preserve">1 These retail stores primarily focused on food are located in Cavignac (33), Izon (33), Pessac (33), Labouheyre (40), Beaumont-de-Lomagne (82), Chasseneuil-sur-Bonnieure (16), Miramont-de-Guyenne (47), Castelsarrasin (82), Aiguillon (47), Artix (64), Bassens (33), Beguey (33), Biganos (33), Boucau (64), Caussade (82), Chateaubriant (44), Condom (32), Coulouneix-Chamiers (24), Gradignan (33), Jarnac (16), La Roche Chalais (24), La Suze-sur-Sarthe (72), Lanton (33), Le Mans (72), Le Vernet (31), Ludon Médoc (33), Marmande (47), Mérignac (33), Mimizan (40), Mirambeau (17), Mirebeau (86), Mortagne-au-Perche (61), Nègrepelisse (82), Pons (17), Pont L’Abbé d’Arnoult (17), Renazé (53), Retiers (35), Saint-Pierre-du-Mont (40), Solesmes (72), Saint Médard en Jalles (33), Saint-Rémy-sur-Avre (28), Terrasson-Lavilledieu (24), Tonneins (47), Toulenne (33), Toulouse (31), Villemur-sur-Tarn (31), and Villeneuve-sur-Lot (47).  </w:t>
        <w:br/>
        <w:t xml:space="preserve">2 The target stores within which there is a butcher shop business operated under the Rosbif brand are the sales outlets located in Aiguillon (47), Artix (64), Bassens (33), Beguey (33), Castelsarrasin (82), Caussade (82), Cavignac (33), Chateaubriant (44), Gradignan (33), La Roche Chalais (24), Lanton (33), Le Mans (72), Ludon Medoc (33), Marmande (47), Pons (17), Pont l’Abbé d’Arnoult (17), Saint Médard-en-Jalles (33), Terrasson Lavilledieu (24), Tonneins (47), Toulenne (33), Toulouse (31), and Villeneuve-sur-Lot (47).  </w:t>
        <w:br/>
        <w:t>3 The stores whose premises will be transferred to FLPH in the context of this operation are located in Boucau (64), Caussade (82), Cavignac (33), Chasseneuil-sur-Bonnieure (16), La Suze-sur-Sarthe (72), Lanton (33), Mirambeau (17), Nègrepelisse (82), Pons (17), Renazé (53), Retiers (35), and Saint-Rémy-sur-Avre (28).</w:t>
      </w:r>
    </w:p>
    <w:p>
      <w:r>
        <w:t>6. According to the consistent practice of national and community competition authorities, two categories of markets can be delineated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7. With regard to the retail sale of everyday consumer goods, competition authorities, both community and national, have distinguished six categories of commerce using several criteria, including the size of the stores, their sales techniques, their accessibility, the nature of the service provided, and the breadth of the product ranges offered: (i) hypermarkets, (ii) supermarkets, (iii) specialized commerce, (iv) small retail businesses, (v) maxi discounters, (vi) mail order sales.</w:t>
      </w:r>
    </w:p>
    <w:p>
      <w:r>
        <w:t>8. Hypermarkets are usually defined as stores primarily focused on food with a sales area equal to or greater than 2,500 m², supermarkets as stores primarily focused on food with a sales area of less than 2,500 m² and greater than 400 m², and convenience stores as stores primarily focused on food with a sales area7 of less than 400 m² and greater than 120 m².</w:t>
      </w:r>
    </w:p>
    <w:p>
      <w:r>
        <w:t xml:space="preserve">9. Competition authorities consider that, while each category of store retains its specificity, there is asymmetric competition between certain of these categories. Indeed, while the service provided overall by hypermarkets (product diversity, depth of ranges, accessibility, low prices) is specific and not provided by any other form of commerce, the size criterion that determines, between supermarkets and hypermarkets, the extent of the assortment of ranges must be used in each case with caution, as stores whose surface area is close to the threshold that serves to distinguish them (2,500 m²), whether below or above, may in fact be in direct competition. Therefore, the conditions under which the market actually operates are taken into account, notably the fact that, in a number of geographical configurations, a hypermarket may typically be used by certain consumers as a convenience store, in substitution for a supermarket. Conversely, the reverse is almost never verified and is even less so as the size of the hypermarket in question is significant. Consequently, the analysis is carried out8 on a market.  </w:t>
        <w:br/>
        <w:t xml:space="preserve">4 See in particular the decisions of the Commission M.496 Intermarché/Spar of June 30, 1997, M.991 Promodès/Casino of October 30, 1997, and M.1684 Carrefour/Promodès of January 25, 2000. See also and in particular decision No. 12-DCC-48 of April 6, 2012, regarding the exclusive control of the company Sofides by the company ITM Entreprises.  </w:t>
        <w:br/>
        <w:t xml:space="preserve">5 See in particular the decisions of the Commission in the cases M.1221 Rewe/Meinl of February 3, 1999, M.1684 Carrefour/Promodès of January 25, 2000, and M.2115 Carrefour/GB of September 28, 2000. See also decision C.2005-98 Carrefour/Penny Market of November 10, 2005.  </w:t>
        <w:br/>
        <w:t xml:space="preserve">6 See in particular the decisions of the Minister of Economy, Finance and Industry in the sector: C.2008-32 Amidis SAGC of July 9, 2008, C.2007-172 Carrefour Plane Plamidis of February 13, 2008, C.2007-154 Système U Vergali of December 3, 2007, C.2007-05 Carrefour Sofadi of March 26, 2007, C.2006-15 Amidis Hamon of April 14, 2006, C.2005-98 Carrefour Penny Market of November 10, 2005.  </w:t>
        <w:br/>
        <w:t xml:space="preserve">7 See the decision of the Competition Authority No. 12-DCC-112 of August 3, 2012, regarding the exclusive control of the company SNC Schlecker by the company Système U Centrale Régionale Sud.  </w:t>
        <w:br/>
        <w:t>8 See the decisions of the Competition Authority No. 12-DCC-48 of April 6, 2012, regarding the exclusive control of the company Sofides by the company ITM Entreprises, No. 12-DCC-63 of May 9, 2012, regarding the exclusive control of the company Guyenne and...</w:t>
      </w:r>
    </w:p>
    <w:p>
      <w:r>
        <w:rPr>
          <w:b/>
        </w:rPr>
        <w:t>[Pages 4–6]</w:t>
      </w:r>
    </w:p>
    <w:p>
      <w:r>
        <w:t>including only hypermarkets and a market comprising supermarkets and equivalent forms of commerce (hypermarkets, hard discount, and discount stores) excluding small retail businesses (less than 400 m²).</w:t>
      </w:r>
    </w:p>
    <w:p>
      <w:r>
        <w:t>10. In this case, the 47 sales outlets operated under the Le Mutant brand are food-dominant stores with a surface area between 445 and 998 m². They therefore fall into the category of supermarkets.</w:t>
      </w:r>
    </w:p>
    <w:p>
      <w:r>
        <w:t>2. GEOGRAPHICAL DELIMITATION</w:t>
      </w:r>
    </w:p>
    <w:p>
      <w:r>
        <w:t>11. It follows from decision-making practice that the competitive conditions relating to supermarkets and hypermarkets are assessed in two different zones depending on the size of the stores:</w:t>
        <w:br/>
        <w:t>- a market where consumer demand and the supply of supermarkets and equivalent forms of commerce located within less than 15 minutes of driving time are present. These latter forms of commerce may include, in addition to supermarkets, hypermarkets located close to consumers and discount stores;</w:t>
        <w:br/>
        <w:t>- a second market where consumer demand from one area meets the supply of hypermarkets that they can access within less than 30 minutes of driving time and which are, from their perspective, substitutable for one another.</w:t>
      </w:r>
    </w:p>
    <w:p>
      <w:r>
        <w:t>12. However, the Authority consistently reminds that these delimitations may evolve on a case-by-case basis, depending on the characteristics of the local area. The attractiveness of stores of the same format may vary according to the density and quality of the commercial equipment in an area. The socio-economic characteristics of the area in question (population density, economic activity, geography, state of the road network) may also lead to refining, in the specific case, the usual delimitations presented above.</w:t>
      </w:r>
    </w:p>
    <w:p>
      <w:r>
        <w:t>13. In this case, as the stores operated by the parties fall into the category of supermarkets, the relevant markets are catchment areas defined by considering a driving time of 15 minutes from the 47 stores in question.</w:t>
      </w:r>
    </w:p>
    <w:p>
      <w:r>
        <w:t>B. UPSTREAM SUPPLY MARKET</w:t>
      </w:r>
    </w:p>
    <w:p>
      <w:r>
        <w:t>14. With regard to supply markets, the European Commission has recognized the existence of markets of national dimension by major product groups, a delimitation followed by national authorities.</w:t>
      </w:r>
    </w:p>
    <w:p>
      <w:r>
        <w:t>15. There is no need to challenge this delimitation in the context of the present operation.</w:t>
      </w:r>
    </w:p>
    <w:p>
      <w:r>
        <w:t>III. Competitive Analysis</w:t>
      </w:r>
    </w:p>
    <w:p>
      <w:r>
        <w:t>A. UPSTREAM SUPPLY MARKETS</w:t>
      </w:r>
    </w:p>
    <w:p>
      <w:r>
        <w:t>16. Regarding the upstream supply markets, the purchases of the entire Casino group represented in 2012 approximately […] euros, or [10-20]% of the overall supply market. The share of purchases by the Casino group is less than [10-20]% regardless of the product category considered. It should be noted that the total amount of purchases made by the 47 stores involved in the operation amounts to […] euros, which is less than [0-5]% of the total purchases made in France in the upstream supply market. The share of cumulative purchases from these 47 target stores in each of the markets defined by product category according to decision-making practice is less than [0-5]%. The operation is therefore not likely to strengthen the purchasing power of the Casino group in the upstream supply markets, regardless of the market segmentation retained.</w:t>
      </w:r>
    </w:p>
    <w:p>
      <w:r>
        <w:t>B. DOWNSTREAM RETAIL MARKETS PRIMARILY FOCUSED ON FOOD</w:t>
      </w:r>
    </w:p>
    <w:p>
      <w:r>
        <w:t>17. The operation results in an overlap of activities between the target stores and other stores owned by the Casino group in 28 catchment areas of 15 minutes defined around the target supermarkets.</w:t>
      </w:r>
    </w:p>
    <w:p>
      <w:r>
        <w:t>18. In 24 of these areas, the cumulative market share of the parties will remain below 35% following the operation. In these areas, the parties will continue to face competition from at least three competing distribution groups, except in the Miramont de Guyenne (47) area, where only two competing distribution groups are present. However, in this latter area, the Casino group will hold only [20-30]% market share. The operation is therefore not likely to harm competition in the aforementioned catchment areas.</w:t>
      </w:r>
    </w:p>
    <w:p>
      <w:r>
        <w:t>19. The cumulative market share of the target stores and those of the Casino group is above 35% in the areas of Cavignac (33), Izon (33), Labouheyre (40), and Beaumont-de-Lomagne (82), which are subject to detailed analysis below.</w:t>
      </w:r>
    </w:p>
    <w:p>
      <w:r>
        <w:t>Cavignac (33)</w:t>
      </w:r>
    </w:p>
    <w:p>
      <w:r>
        <w:t>20. In the market comprising supermarkets and equivalent forms of commerce located within less than 15 minutes of driving time from the target store located in Cavignac, the latter (700 m²) represents [0-5]% of the sales areas in the zone, and the Casino group, which already operates a Géant Casino hypermarket (7,476 m²) and a Leader Price store (990 m²) there, represents [40-50]% of the sales areas in the zone, resulting in a cumulative market share of [40-50]%. However, the Casino group will continue to face competition from four Intermarché stores (which hold a cumulative market share of [30-40]%), one Super U store ([10-20]% market share), one Lidl store ([0-5]%), and one Carrefour Contact store ([0-5]%), with the Super U and Lidl being located in immediate proximity to the target store (one minute by car).</w:t>
      </w:r>
    </w:p>
    <w:p>
      <w:r>
        <w:t>21. The operation is therefore not likely to harm competition in the Cavignac area.</w:t>
      </w:r>
    </w:p>
    <w:p>
      <w:r>
        <w:t>Izon (33)</w:t>
      </w:r>
    </w:p>
    <w:p>
      <w:r>
        <w:t>22. In the market comprising supermarkets and equivalent forms of commerce located within less than 15 minutes of driving time from the target store located in Izon, the latter (650 m²) represents [5-10]% of the sales areas in the zone. The Casino group also operates an Hyper Casino store (2,977 m²), a Leader Price (710 m²), and a Casino (2,000 m²) there, thus grouping [50-60]% of the sales areas in the zone following the operation. It would only face competition from three brands: one Super U store (2,645 m² - [20-30]%), two Carrefour Contact stores (887 and 740 m² - [10-20]%), and one Lidl store (999 m² - [5-10]% market share).</w:t>
      </w:r>
    </w:p>
    <w:p>
      <w:r>
        <w:t>23. The parties consider that the competition exerted by hypermarkets located within less than twenty minutes of driving time from the target store (notably a Leclerc hypermarket of 11,899 m² located in Sainte Eulalie) should be taken into account. However, since the target store is a small supermarket (650 m²), it offers a proximity service that is only imperfectly substitutable for that of a distant large store.</w:t>
      </w:r>
    </w:p>
    <w:p>
      <w:r>
        <w:t>24. Furthermore, the two closest competitors geographically to the target store are two stores of the Casino group (the Hyper Casino and the Leader Price) located less than 3 minutes by car from the target store. In contrast, two of the competing stores considered in the calculation of market shares in the 15-minute zone (the Lidl store in Ambares-et-Lagrave and the Carrefour Contact store in Saint-Germain-du-Puch) are located on the edge of this zone.</w:t>
      </w:r>
    </w:p>
    <w:p>
      <w:r>
        <w:t>25. In light of these elements, the operation is likely to harm competition in the catchment area of the store located at 86, avenue du général de Gaulle in Izon (33). To remedy this, the notifying party has committed to divest the target store in Izon. This commitment will maintain the pre-existing competitive conditions prior to the operation.</w:t>
      </w:r>
    </w:p>
    <w:p>
      <w:r>
        <w:t>Labouheyre (40)</w:t>
      </w:r>
    </w:p>
    <w:p>
      <w:r>
        <w:t>26. In the catchment area defined by considering a maximum driving time of 15 minutes from the target store located in Labouheyre, the latter (522 m²) represents [10-20]% of the sales areas in the zone. The Casino group also operates a Spar store (565 m²) there, resulting in a market share of [20-30]%. Thus, following the operation, the Casino group would have a cumulative market share of [40-50]%, but would only face one competing store under the Intermarché brand (1,600 m² - [50-60]% market share).</w:t>
      </w:r>
    </w:p>
    <w:p>
      <w:r>
        <w:t>27. The operation, which results in the creation of a duopoly in the area, reducing the number of brands from three to two, harms the competitive situation in the area.</w:t>
      </w:r>
    </w:p>
    <w:p>
      <w:r>
        <w:rPr>
          <w:b/>
        </w:rPr>
        <w:t>[Pages 7–8]</w:t>
      </w:r>
    </w:p>
    <w:p>
      <w:r>
        <w:t>40-50] % but would only face one competing store under the Intermarché brand (1,600 m² - [50-60] %).</w:t>
      </w:r>
    </w:p>
    <w:p>
      <w:r>
        <w:t>27. The transaction, which results in the creation of a duopoly in the area, with the number of brands reduced from three to two, adversely affects the competitive situation in the catchment area of the store located at 40, Avenue des Magnolias, in Labouheyre (40). To remedy this, the notifying party has committed to divesting the target store in Labouheyre. This commitment will maintain the pre-existing competitive conditions prior to the transaction.</w:t>
      </w:r>
    </w:p>
    <w:p>
      <w:r>
        <w:t>Beaumont-de-Lomagne (82)</w:t>
      </w:r>
    </w:p>
    <w:p>
      <w:r>
        <w:t>28. In the market comprising supermarkets and equivalent forms of commerce located within less than 15 minutes by car from the target store located in Beaumont-de-Lomagne (82), the latter (689 m²) represents [10-20] % of the sales areas in the zone. The Casino group also operates a supermarket there (1,917 m²) which represents [40-50] % of the sales areas. Therefore, following the transaction, it would have a cumulative market share of [60-70] % and would only have one competitor, an Intermarché store (1,683 m² - [30-40] %).</w:t>
      </w:r>
    </w:p>
    <w:p>
      <w:r>
        <w:t>29. The transaction, which results in the creation of a duopoly in the area, with the number of brands reduced from three to two, adversely affects the competitive situation in the catchment area of the store located on Avenue de Quercy in Beaumont-de-Lomagne (82). To remedy this, the notifying party has committed to divesting the target store in Beaumont-de-Lomagne (82). This commitment will maintain the pre-existing competitive conditions prior to the transaction.</w:t>
      </w:r>
    </w:p>
    <w:p>
      <w:r>
        <w:t>IV. Proposed Commitments</w:t>
      </w:r>
    </w:p>
    <w:p>
      <w:r>
        <w:t>30. To remedy the effects of the transaction on competition in the downstream markets of predominantly food retail in the areas of Izon (33), Labouheyre (40), and Beaumont-de-Lomagne (82), the Casino group submitted a proposal for commitments on January 14, 2014. The text of these commitments, attached as an annex, forms an integral part of this decision.</w:t>
      </w:r>
    </w:p>
    <w:p>
      <w:r>
        <w:t>31. The commitments proposed by the notifying party consist of the divestiture to one or more viable and independent purchasers:</w:t>
        <w:br/>
        <w:t>a. of the retail outlet under the Le Mutant brand of 650 m² located in Izon (33)</w:t>
        <w:br/>
        <w:t>b. of the retail outlet under the Le Mutant brand of 522 m² located in Labouheyre (40)</w:t>
        <w:br/>
        <w:t>c. of the retail outlet under the Le Mutant brand of 689 m² located in Beaumont-de-Lomagne (82)</w:t>
      </w:r>
    </w:p>
    <w:p>
      <w:r>
        <w:t>32. Furthermore, the notifying party undertakes, for a period of 10 years from the date of this decision, not to acquire direct or indirect influence over any of the stores.</w:t>
      </w:r>
    </w:p>
    <w:p>
      <w:r>
        <w:t>33. It also commits to appointing an independent representative whose mission will be to ensure the satisfactory execution by the Casino group of its obligations. If it does not find buyers for the three aforementioned stores within […] years, a representative will be tasked with finding buyers for the divested stores and negotiating with them, on behalf of the Casino group, the terms of the divestiture. The buyers must be independent of the notifying party. They must possess the financial resources and expertise to preserve and develop in a viable manner the capacity of the divested activities to stimulate competition in the relevant markets.</w:t>
      </w:r>
    </w:p>
    <w:p>
      <w:r>
        <w:t>34. In the three areas concerned, these commitments lead to the elimination of market share overlaps that would result from the notified transaction. They therefore remedy the identified risks of harm to competition.</w:t>
      </w:r>
    </w:p>
    <w:p>
      <w:r>
        <w:t>35. Consequently, the Authority considers that the commitments proposed by the notifying party are sufficient to eliminate any serious doubts regarding the effects of the transaction on competition.</w:t>
      </w:r>
    </w:p>
    <w:p>
      <w:r>
        <w:t>DECIDES</w:t>
      </w:r>
    </w:p>
    <w:p>
      <w:r>
        <w:t>Sole Article: The transaction notified under number 13-225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