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https://www.autoritedelaconcurrence.fr/fr/decision-de-controle-des-concentrations/relative-la-prise-de-controle-par-la-societe-retail-leader</w:t>
      </w:r>
    </w:p>
    <w:p>
      <w:r>
        <w:t>Pages translated : 6</w:t>
      </w:r>
    </w:p>
    <w:p/>
    <w:p>
      <w:r>
        <w:rPr>
          <w:b/>
        </w:rPr>
        <w:t>[Pages 1–3]</w:t>
      </w:r>
    </w:p>
    <w:p>
      <w:r>
        <w:t xml:space="preserve">FRENCH REPUBLIC  </w:t>
        <w:br/>
        <w:t xml:space="preserve">Decision No. 12-DCC-15 of February 8, 2012  </w:t>
        <w:br/>
        <w:t xml:space="preserve">regarding the acquisition of control by the company  </w:t>
        <w:br/>
        <w:t xml:space="preserve">Retail Leader Price Investissement (Casino Group)  </w:t>
        <w:br/>
        <w:t xml:space="preserve">of the company DBMH  </w:t>
        <w:br/>
        <w:t xml:space="preserve">The Competition Authority,  </w:t>
        <w:br/>
        <w:t xml:space="preserve">Having regard to the notification file submitted in full to the merger service on January 4, 2010,  </w:t>
        <w:br/>
        <w:t xml:space="preserve">regarding the acquisition of control of the company DBMH by the company Retail Leader Price  </w:t>
        <w:br/>
        <w:t xml:space="preserve">Investissement (“RLPI”), formalized by the notifications of the exercise of a put option on March 2 and November 3, 2011;  </w:t>
        <w:br/>
        <w:t xml:space="preserve">Having regard to Book IV of the Commercial Code relating to price freedom and competition, and  </w:t>
        <w:br/>
        <w:t xml:space="preserve">notably its Articles L. 430-1 to L. 430-7;  </w:t>
        <w:br/>
        <w:t xml:space="preserve">Having regard to the additional elements transmitted by the parties during the investigation;  </w:t>
        <w:br/>
        <w:t xml:space="preserve">Adopts the following decision:  </w:t>
        <w:br/>
        <w:t xml:space="preserve">I. The concerned companies and the operation  </w:t>
        <w:br/>
        <w:t xml:space="preserve">1. The company Retail Leader Price Investissement (hereinafter “RLPI”) is a subsidiary of the Casino Guichard Perrachon group whose main purpose is to acquire stakes in companies operating stores under the Leader Price brand. The Casino group, the third largest player in the French food distribution sector, manages a network of over 10,000 stores (hypermarkets, supermarkets, convenience stores, discount stores…) under the Casino, Franprix, Spar, Vival, Naturalia, and Leader Price brands. The Casino group also holds 50% of the Monoprix group. Furthermore, it is present in the online distribution sector of non-food products with the Cdiscount brand. The Casino group is controlled directly and indirectly by the Euris group, which is itself controlled by Mr. Jean-Charles Naouri.  </w:t>
        <w:br/>
        <w:t>2. DMBH is a simplified joint-stock company whose capital is held at […] % by Mr. X and at […] % by RLPI. DMBH is active in the retail sector. It operates 22 points of sale under the Leader Price brand through 21 operating companies and 5 real estate civil companies that it exclusively controls.</w:t>
      </w:r>
    </w:p>
    <w:p>
      <w:r>
        <w:t xml:space="preserve">3. DBMH is equipped with a supervisory committee composed of three members, among whom two are appointed by Mr. X and one by RLPI, with decisions only being validly made if the member appointed by RLPI is present or represented. Most of the committee's decisions are made by a simple majority, notably the adoption of development plans and annual budgets for investment, financing, and operation of the company or its subsidiaries. These decisions can therefore be voted on solely by the members appointed by Mr. X. Other decisions, particularly those related to the acquisition or disposal of securities or assets valued at more than [5-10] million euros, are adopted by a reinforced majority and therefore require the vote of the RLPI member.  </w:t>
        <w:br/>
        <w:t xml:space="preserve">4. The corporate purpose of DBMH is limited by its bylaws to the operation of stores under the "Leader Price" brand or any brand of the Casino group. Any amendment to the bylaws requires a reinforced majority. Consequently, the stores operated by DBMH cannot change their brand without the prior agreement of RLPI.  </w:t>
        <w:br/>
        <w:t xml:space="preserve">5. Furthermore, RLPI is informed of a large number of decisions, notably those concerning (i) the monthly analytical situation by store showing the main elements of the income statement, the workforce, the cash position, and the indebtedness of the company, (ii) for each project to acquire a business or a company operating such a business, a detailed information document, and (iii) a budget forecast for the upcoming fiscal year including the balance sheets and projected income statements for each quarter, monthly cash flow forecasts, the employment/resources plan, and the investment expenditures of the company and the companies it controls. RLPI also has the right to conduct an annual audit of the accounts and, in the event of serious or gross misconduct, to revoke the general manager of DBMH.  </w:t>
        <w:br/>
        <w:t xml:space="preserve">6. Moreover, under the agreement concluded between the shareholders of DBMH on October 1, 2009, RLPI benefits from a right of first refusal granted by DBMH and its subsidiaries in the event of the sale of their businesses or in the event of DBMH selling the shares of its subsidiaries.  </w:t>
        <w:br/>
        <w:t xml:space="preserve">7. Finally, Mr. X and RLPI granted on October 1, 2009, respectively, a promise to sell and a promise to buy Mr. X's stake in DBMH. Mr. X notified RLPI of his intention to exercise the put option on all the shares he holds under this agreement on March 2 and November 3, 2011. This notification was accepted by RLPI.  </w:t>
        <w:br/>
        <w:t xml:space="preserve">8. It follows from the above that Mr. X and RLPI had, prior to the operation, joint control over DBMH. The operation confers the entirety of the capital and voting rights of the latter to RLPI. As it results in the exclusive control of the company DBMH by RLPI, the operation constitutes a concentration operation within the meaning of Article L. 430-1 of the Commercial Code.  </w:t>
        <w:br/>
        <w:t>9. The concerned companies together achieve a total worldwide turnover of more than 150 million euros (Casino group: 29.078 billion euros for the fiscal year ending December 31, 2010; DBMH: […] million euros for the same fiscal year). Two of the concerned companies achieve a turnover in France exceeding 50 million euros (Casino group: 17.956 billion euros for the fiscal year ending December 31, 2010; DBMH: […] million euros for the same fiscal year). Given these turnover figures, the operation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10. According to the consistent practice of national and Community competition authorities1, two categories of markets can be delineated2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11. With regard to the retail sale of everyday consumer goods, competition authorities, both Community and national3, have distinguished six categories of commerce using several criteria, notably the size of the stores, their sales techniques, their accessibility, the nature of the service provided, and the range of products offered: (i) hypermarkets, (ii) supermarkets, (iii) specialized commerce, (iv) small retail commerce, (v) maxi discounters, (vi) mail order sales.  </w:t>
        <w:br/>
        <w:t xml:space="preserve">12. Hypermarkets are usually defined as food-dominant stores with a sales area equal to or greater than 2,500 m², and supermarkets as food-dominant stores with a sales area of less than 2,500 m² and greater than 400 m². However, it should be noted that these thresholds should be used with caution and may be adapted to the specific case, as stores whose area is close to a threshold, either below or above, may find themselves in direct competition with stores of another category.  </w:t>
        <w:br/>
        <w:t xml:space="preserve">13. In this case, the 22 acquired stores fall into the category of supermarkets.  </w:t>
        <w:br/>
        <w:t xml:space="preserve">2. GEOGRAPHICAL DELIMITATION  </w:t>
        <w:br/>
        <w:t xml:space="preserve">14. In its recent decisions4 regarding operations involving hypermarkets or supermarkets, the Competition Authority has recalled that depending on the size of the stores concerned, the conditions of competition should be assessed in two different areas:  </w:t>
        <w:br/>
        <w:t xml:space="preserve">1 See notably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Carrefour/Coran case No. 98-A-06 of May 5, 1998, in the Casino Franprix/Leader Price case, and No. 00-A-06 of May 3, 2000, in the Carrefour/Promodès case.  </w:t>
        <w:br/>
        <w:t xml:space="preserve">2 Commission decisions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 Vergali of December 3, 2007, C.2007-05 Carrefour Sofadi of March 26, 2007, C.2006-15 Amidis Hamon of April 14, 2006, C.2005-98 Carrefour Penny Market of November 10, 2005.  </w:t>
        <w:br/>
        <w:t>4 See notably the decisions 09-DCC-24 of July 23, 2009 Floritine/CSF; 09-DCC-10 of May 28, 2009 Frandis/Financière Perdis; 09-DCC-06 of May 20, 2009 Evolis/ITM; 09-DCC-04 of April 29, 2009 Carrefour/Noukat.</w:t>
      </w:r>
    </w:p>
    <w:p>
      <w:r>
        <w:rPr>
          <w:b/>
        </w:rPr>
        <w:t>[Pages 4–6]</w:t>
      </w:r>
    </w:p>
    <w:p>
      <w:r>
        <w:t>- a first market where the demand of consumers in an area meets the supply of hypermarkets accessible to them within less than 30 minutes by car and which are, from their point of view,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br/>
        <w:t>15. Other criteria may nevertheless be taken into account to assess the impact of a concentration on the competitive situation in retail distribution markets, which may lead to refining the usual delimitations presented above.</w:t>
        <w:br/>
        <w:t>16. In the case at hand, as the stores operated by the parties fall into the category of supermarkets, a catchment area of 15 minutes has been retained around the 22 concerned stores.</w:t>
        <w:br/>
        <w:t>B. UPSTREAM SUPPLY MARKET</w:t>
        <w:br/>
        <w:t>17. With regard to supply markets, the European Commission5 has recognized the existence of markets of national dimension by major product groups, a delimitation followed by national authorities6.</w:t>
        <w:br/>
        <w:t>18. There is no need to challenge this delimitation in the context of the present operation.</w:t>
        <w:br/>
        <w:t>III. Competitive Analysis</w:t>
        <w:br/>
        <w:t>A. DOWNSTREAM DISTRIBUTION MARKETS PREDOMINANTLY FOOD</w:t>
        <w:br/>
        <w:t>19. Concerning the companies operated by DBMH, the operation results in an overlap with other stores owned by the Casino group in the following 17 catchment areas: Auxerre Clarions (89), Auxerre Saint-Georges (89), Belfort (90), Chalon sur Saône Dumorey (71), Chalon sur Saône Niepce (71), Champforgeuil (71), Chenôve (21), Fontaine-lès-Dijon (21), Kembs (68), Kingersheim (68), Miserey-Salines (89), Montbéliard (25), Mulhouse (68), Neuilly-lès-Dijon (21), Quétigny (21), Soultz (68) and Saint-Thibault des Vignes (77).</w:t>
        <w:br/>
        <w:t>20. The market shares of the target and the Casino group in the relevant catchment areas are as follows according to the delimitation retained by the parties:</w:t>
        <w:br/>
        <w:t>5 See the Commission decisions M.1684 Carrefour/Promodès of January 25, 2000 and M.2115 Carrefour/GB of September 28, 2000.</w:t>
        <w:br/>
        <w:t>6 See notably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Casino Group / Total after</w:t>
        <w:br/>
        <w:t>DBMH Zone7</w:t>
        <w:br/>
        <w:t>Monoprix operation</w:t>
        <w:br/>
        <w:t>Auxerre Clarions [5-10] % [10-20] % [20-30] %</w:t>
        <w:br/>
        <w:t>Auxerre Saint-Georges [5-10] % [10-20] % [20-30] %</w:t>
        <w:br/>
        <w:t>Belfort [0-5] % [0-5] % [5-10] %</w:t>
        <w:br/>
        <w:t>Chalon-sur-Saône Dumorey [10-20] % [10-20] % [20-30] %</w:t>
        <w:br/>
        <w:t>Chalon-sur-Saône Niepce [10-20] % [10-20] % [20-30] %</w:t>
        <w:br/>
        <w:t>Champforgeuil [5-10] % [10-20] % [20-30] %</w:t>
        <w:br/>
        <w:t>Chenôve [5-10] % [20-30] % [20-30] %</w:t>
        <w:br/>
        <w:t>Fontaine-Lès-Dijon [5-10] % [10-20] % [20-30] %</w:t>
        <w:br/>
        <w:t>Kembs [10-20] % [10-20] % [30-40] %</w:t>
        <w:br/>
        <w:t>Kingersheim [0-5] % [0-5] % [5-10] %</w:t>
        <w:br/>
        <w:t>Miserey-Salines [0-5] % [20-30] % [20-30] %</w:t>
        <w:br/>
        <w:t>Montbéliard [0-5] % [5-10] % [10-20] %</w:t>
        <w:br/>
        <w:t>Mulhouse [0-5] % [0-5] % [5-10] %</w:t>
        <w:br/>
        <w:t>Neuilly-lès-Dijon [5-10] % [10-20] % [20-30] %</w:t>
        <w:br/>
        <w:t>Quétigny [5-10] % [10-20] % [20-30] %</w:t>
        <w:br/>
        <w:t>Soultz [0-5] % [0-5] % [5-10] %</w:t>
        <w:br/>
        <w:t>Saint-Thibault des Vignes [0-5] % [10-20] % [10-20] %</w:t>
        <w:br/>
        <w:t>21. With the exception of the areas of Champforgeuil, Chenôve, Kembs, and Quétigny, the market share of the Casino group will remain below [20-30] % following the operation in all the concerned areas. The new entity will also face competition in these areas from groups such as Louis Delhaize (Cora), Carrefour, Intermarché, Système U, and Leclerc.</w:t>
        <w:br/>
        <w:t>22. In the Champforgeuil area, the parties will hold, according to their calculations, a market share of [20-30] % followed by Carrefour and Intermarché (respectively [20-30] % and [10-20] %).</w:t>
        <w:br/>
        <w:t>23. In the catchment area of the Chenôve store, the market share of the Casino group is, in any event, below [20-30] %. Furthermore, Intermarché ([20-30] %) and Système U ([10-20] %) have a significant presence in this area.</w:t>
        <w:br/>
        <w:t>24. In the Kembs area, according to the parties' estimates, the market share of Casino will be [30-40] %. However, these estimates were corrected during the investigation, as the 15-minute catchment area of the Leader Price in Kembs revealed another store of the Casino group and a store of the Leclerc group. It follows that the Casino group will represent [30-40] % of the sales areas in the zone, but will face significant competition from stores of the Leclerc group ([30-40] %) and Système U ([10-20] %).</w:t>
        <w:br/>
        <w:t>7 For the calculation of the market share of the target, reference is made to the sales of all DBMH stores located in the area, rather than to the single supermarket around which the area is defined.</w:t>
      </w:r>
    </w:p>
    <w:p>
      <w:r>
        <w:t>25. Finally, the market share of the Casino group in the catchment area of the Quétigny store is slightly above [20-30] % according to the parties' estimates. Nevertheless, it emerges from the investigation that it is necessary to take into account the presence of a Carrefour store located on the edge of the catchment area of the Quétigny store, which was omitted from the initially notified estimates. It follows that the Casino group will only control [20-30] % of the sales areas in the zone and will notably face competition from the Carrefour group ([30-40] %) and Intermarché ([10-20] %) following the operation.</w:t>
        <w:br/>
        <w:t>26. Given all these elements, the operation is not likely to harm competition in the downstream market of predominantly food distribution.</w:t>
        <w:br/>
        <w:t>B. UPSTREAM SUPPLY MARKETS</w:t>
        <w:br/>
        <w:t>27. With regard to upstream supply markets, the operation is limited to 22 stores representing, in 2009, less than [0-5] % of the turnover achieved by the Casino group in France under the Franprix/Leader-Price brand and less than [0-5] % of the national turnover generated by the entire food distribution activity of the group. The acquisition of DBMH is therefore not likely to significantly strengthen the purchasing power of the Casino group, across all products as well as by major product groups. The strengthening is all the more minor as, prior to the operation, the stores subject to the notified operation were already sourcing almost exclusively through the purchasing center Distribution Leader Price, a subsidiary of the Casino group.</w:t>
        <w:br/>
        <w:t>DECIDES</w:t>
        <w:br/>
        <w:t>Sole Article: The operation notified under number 11-248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