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https://www.autoritedelaconcurrence.fr/fr/decision-de-controle-des-concentrations/relative-la-prise-du-controle-conjoint-de-la-societe-0</w:t>
      </w:r>
    </w:p>
    <w:p>
      <w:r>
        <w:t>Pages translated : 2</w:t>
      </w:r>
    </w:p>
    <w:p/>
    <w:p>
      <w:r>
        <w:rPr>
          <w:b/>
        </w:rPr>
        <w:t>[Pages 1–2]</w:t>
      </w:r>
    </w:p>
    <w:p>
      <w:r>
        <w:t xml:space="preserve">FRENCH REPUBLIC  </w:t>
        <w:br/>
        <w:t xml:space="preserve">Decision No. 20-DCC-14 of February 7, 2020  </w:t>
        <w:br/>
        <w:t xml:space="preserve">regarding the joint control acquisition of the company Perfect Wind Polska by the company Mirova and the company Akuo Energy Polska  </w:t>
        <w:br/>
        <w:t xml:space="preserve">The Competition Authority,  </w:t>
        <w:br/>
        <w:t xml:space="preserve">Having regard to the complete notification file submitted to the mergers department on January 20, 2020, concerning the acquisition of joint control of the company Perfect Wind Polska by the company Mirova and the company Akuo Energy Polska, formalized by a memorandum of understanding dated December 6, 2019;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the company Mirova and the company Akuo Energy Polska of the company Perfect Wind Polska, which is active in the sector of electricity production and wholesale sales in Poland. It constitutes a concentration operation within the meaning of Article L. 430-1 of the Commercial Code. Given the turnover achieved by the concerned companies,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19-334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