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https://www.autoritedelaconcurrence.fr/fr/decision-de-controle-des-concentrations/relative-la-prise-du-controle-conjoint-de-la-societe-cab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12-DCC-40 of March 21, 2012  </w:t>
        <w:br/>
        <w:t xml:space="preserve">regarding the joint control acquisition of the company Cab by the companies  </w:t>
        <w:br/>
        <w:t xml:space="preserve">ITM Entreprises and Stenivest  </w:t>
        <w:br/>
        <w:t xml:space="preserve">The Competition Authority,  </w:t>
        <w:br/>
        <w:t xml:space="preserve">Having regard to the complete notification file submitted to the mergers department on March 2, 2012,  </w:t>
        <w:br/>
        <w:t xml:space="preserve">concerning the joint control acquisition of the company Cab by the companies ITM Entreprises and  </w:t>
        <w:br/>
        <w:t xml:space="preserve">Stenivest, formalized by a draft of the company's statutes and a share transfer agreement dated February 24,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Cab, operating a business fund of  </w:t>
        <w:br/>
        <w:t xml:space="preserve">distribution predominantly focused on food, under the brand Intermarché,  </w:t>
        <w:br/>
        <w:t xml:space="preserve">with a surface area of 2,534 m² and located in the city of Belleville-sur-Saône (69) by the company  </w:t>
        <w:br/>
        <w:t xml:space="preserve">ITM Entreprises and by the company Stenivest, which operates two business funds predominantly focused  </w:t>
        <w:br/>
        <w:t xml:space="preserve">on food under the brands Intermarché and Netto in Chatillon-sur-Chalaronne (01). It  </w:t>
        <w:br/>
        <w:t xml:space="preserve">constitutes a concentration operation within the meaning of Article L. 430-1 of the Commercial Code.  </w:t>
        <w:br/>
        <w:t xml:space="preserve">Considering the turnover generated by the companies involved, the operation does not  </w:t>
        <w:br/>
        <w:t xml:space="preserve">have a community dimension. On the other hand, the control thresholds related to  </w:t>
        <w:br/>
        <w:t xml:space="preserve">retail trade mentioned in point II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12-038 is authorized.  </w:t>
        <w:br/>
        <w:t xml:space="preserve">The Vice-President,  </w:t>
        <w:br/>
        <w:t xml:space="preserve">Françoise Aubert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