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https://www.autoritedelaconcurrence.fr/fr/decision-de-controle-des-concentrations/relative-la-prise-du-controle-exclusif-de-la-societe-isae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12-DCC-47 of April 11, 2012  </w:t>
        <w:br/>
        <w:t xml:space="preserve">regarding the acquisition of exclusive control of the company ISAE by the company  </w:t>
        <w:br/>
        <w:t xml:space="preserve">Amidis et Compagnie  </w:t>
        <w:br/>
        <w:t xml:space="preserve">The Competition Authority,  </w:t>
        <w:br/>
        <w:t xml:space="preserve">Having regard to the complete notification file submitted to the mergers department on March 15, 2012,  </w:t>
        <w:br/>
        <w:t xml:space="preserve">concerning the acquisition of exclusive control of the company ISAE by the company Amidis et Compagnie,  </w:t>
        <w:br/>
        <w:t xml:space="preserve">a subsidiary of the Carrefour group, formalized by a share transfer agreement dated  </w:t>
        <w:br/>
        <w:t xml:space="preserve">March 8, 2012;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of exclusive control of the company ISAE,  </w:t>
        <w:br/>
        <w:t xml:space="preserve">operating a predominantly food distribution business under the Carrefour Market brand, with an area of 2,312 m² and located in the city of Rennes (35), by the company Amidis et Compagnie, a 100% subsidiary of the Carrefour group. It constitutes a concentration operation within the meaning of Article L. 430-1 of the Commercial Code. Given the turnover achieved by the companies concerned, the operation does not have a community dimension. However, the retail control thresholds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notified operation under number 12-046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