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https://www.autoritedelaconcurrence.fr/fr/decision-de-controle-des-concentrations/relative-la-prise-du-controle-exclusif-de-la-societe</w:t>
      </w:r>
    </w:p>
    <w:p>
      <w:r>
        <w:t>Pages translated : 2</w:t>
      </w:r>
    </w:p>
    <w:p/>
    <w:p>
      <w:r>
        <w:rPr>
          <w:b/>
        </w:rPr>
        <w:t>[Pages 1–2]</w:t>
      </w:r>
    </w:p>
    <w:p>
      <w:r>
        <w:t>FRENCH REPUBLIC</w:t>
        <w:br/>
        <w:t>Decision No. 24-DCC-25 of February 15, 2024</w:t>
        <w:br/>
        <w:t>regarding the acquisition of exclusive control of the company Défense Conseil International by the Adit group</w:t>
        <w:br/>
        <w:t>The Competition Authority,</w:t>
        <w:br/>
        <w:t>Having regard to the complete notification file submitted to the mergers department on January 26, 2024, concerning the acquisition of exclusive control of the company Défense Conseil International by the company Adit S.A.S. formalized by a purchase promise dated October 19, 2023;</w:t>
        <w:br/>
        <w:t>Having regard to Book IV of the Commercial Code relating to the freedom of prices and competition, and in particular its Articles L. 430-1 to L. 430-7;</w:t>
        <w:br/>
        <w:t>Adopts the following decision:</w:t>
        <w:br/>
        <w:t>1. The notified operation consists of the acquisition of exclusive control by the Adit group of the company Défense Conseil International, both active in the management consulting and operational maintenance sectors. The operation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23-293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