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https://www.autoritedelaconcurrence.fr/fr/decision-de-controle-des-concentrations/relative-la-prise-du-controle-exclusif-du-groupe-vilavi-par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23-DCC-193 of September 26, 2023  </w:t>
        <w:br/>
        <w:t xml:space="preserve">regarding the acquisition of exclusive control of the Vilavi group by the HLD Europe group  </w:t>
        <w:br/>
        <w:t xml:space="preserve">The Competition Authority,  </w:t>
        <w:br/>
        <w:t xml:space="preserve">Having regard to the complete notification file sent to the mergers department on September 8, 2023,  </w:t>
        <w:br/>
        <w:t xml:space="preserve">concerning the acquisition of exclusive control of the Vilavi group by the HLD Europe group formalized  </w:t>
        <w:br/>
        <w:t xml:space="preserve">by a transfer and acquisition contract dated September 7, 2023;  </w:t>
        <w:br/>
        <w:t xml:space="preserve">Having regard to Book IV of the Commercial Code relating to the freedom of prices and competition, and  </w:t>
        <w:br/>
        <w:t xml:space="preserve">in particular its Articles L. 430-1 to L. 430-7;  </w:t>
        <w:br/>
        <w:t xml:space="preserve">Adopts the following decision:  </w:t>
        <w:br/>
        <w:t xml:space="preserve">1. The notified operation consists of the acquisition of exclusive control by the HLD Europe group of the  </w:t>
        <w:br/>
        <w:t xml:space="preserve">Vilavi group, which offers insurance brokerage and credit brokerage products through, notably, the  </w:t>
        <w:br/>
        <w:t xml:space="preserve">company Assu 2000. The operation constitutes a concentration operation within the meaning of  </w:t>
        <w:br/>
        <w:t xml:space="preserve">Article L. 430-1 of the Commercial Code. Given the turnover achieved by the companies concerned,  </w:t>
        <w:br/>
        <w:t xml:space="preserve">the operation does not fall under the jurisdiction of the European Union. However, the control thresholds  </w:t>
        <w:br/>
        <w:t xml:space="preserve">mentioned in I of Article L. 430-2 of the Commercial Code are exceeded. This operation is therefore  </w:t>
        <w:br/>
        <w:t xml:space="preserve">subject to the provisions of Articles L. 430-3 and following of the Commercial Code relating to economic  </w:t>
        <w:br/>
        <w:t xml:space="preserve">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23-227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