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https://www.autoritedelaconcurrence.fr/fr/decision-de-controle-des-concentrations/relative-la-prise-en-location-gerance-par-la-societe-0</w:t>
      </w:r>
    </w:p>
    <w:p>
      <w:r>
        <w:t>Pages translated : 5</w:t>
      </w:r>
    </w:p>
    <w:p/>
    <w:p>
      <w:r>
        <w:rPr>
          <w:b/>
        </w:rPr>
        <w:t>[Pages 1–3]</w:t>
      </w:r>
    </w:p>
    <w:p>
      <w:r>
        <w:t>FRENCH REPUBLIC</w:t>
        <w:br/>
        <w:t>Decision No. 17-DCC-71 of May 26, 2017</w:t>
        <w:br/>
        <w:t>regarding the lease-management by the Société Hôtelière de Montparnasse of the Pullman Paris Montparnasse hotel</w:t>
      </w:r>
    </w:p>
    <w:p>
      <w:r>
        <w:t>The Competition Authority,</w:t>
      </w:r>
    </w:p>
    <w:p>
      <w:r>
        <w:t>Having regard to the notification file submitted in full to the concentrations service on April 18, 2017, regarding the lease-management by the Société Hôtelière de Montparnasse of the Pullman Paris Montparnasse hotel, formalized by the signing of a lease-management contract dated January 6, 2017;</w:t>
      </w:r>
    </w:p>
    <w:p>
      <w:r>
        <w:t>Having regard to Book IV of the Commercial Code relating to price freedom and competition, and in particular its Articles L. 430-1 to L. 430-7;</w:t>
      </w:r>
    </w:p>
    <w:p>
      <w:r>
        <w:t>Having regard to the supplementary elements transmitted by the notifying party during the investigation;</w:t>
      </w:r>
    </w:p>
    <w:p>
      <w:r>
        <w:t>Adopts the following decision:</w:t>
      </w:r>
    </w:p>
    <w:p>
      <w:r>
        <w:t>I. The concerned companies and the operation</w:t>
      </w:r>
    </w:p>
    <w:p>
      <w:r>
        <w:t>1. The Société Hôtelière de Montparnasse (hereinafter "SHDM") is active in the hotel and restaurant sectors, as well as in the management of conventions and conferences. Since December 2010, SHDM has been a tenant and manages the Pullman Paris Montparnasse hotel. SHDM is a 100% subsidiary of Accor SA, which heads the AccorHotels group.</w:t>
      </w:r>
    </w:p>
    <w:p>
      <w:r>
        <w:t>2. The Société d’Exploitation Hôtelière de Montparnasse (hereinafter "SEHM") has had a lease regarding the premises of the Pullman Paris Montparnasse hotel owned by the Unibail-Rodamco group, which controls SEHM, since January 2011.</w:t>
      </w:r>
    </w:p>
    <w:p>
      <w:r>
        <w:t>3. On January 6, 2017, the parties concluded a new contract whereby SEHM leases the Pullman Paris Montparnasse hotel to SHDM. This contract has a duration of […]</w:t>
      </w:r>
    </w:p>
    <w:p>
      <w:r>
        <w:t>This lease-management arrangement does not involve any equity participation between the AccorHotels and Unibail-Rodamco groups.</w:t>
      </w:r>
    </w:p>
    <w:p>
      <w:r>
        <w:t>4. The European Commission indicated in its consolidated communication that "control can also be achieved on a contractual basis. In order to confer control, the contract must lead to control over the management and resources of the other company equivalent to that obtained by acquiring shares or assets. In addition to the transfer of control over management and resources, these contracts must be characterized by an extremely long duration (usually without the possibility of early termination by the party granting the contractual rights). Only this type of contract can induce a structural change in the market. Examples of such contracts include organizational contracts concluded under national company law or other types of contracts taking, for example, the form of lease-management agreements for activities, whereby the acquirer gains control over management and resources despite the fact that ownership rights or shares are not transferred" (emphasis added). The Commission also indicated that "a fixed duration does not exclude the possibility of a lasting change in control when [the] agreements are renewable."</w:t>
      </w:r>
    </w:p>
    <w:p>
      <w:r>
        <w:t>5. The Minister responsible for the economy noted that "although the lessor may require the lessee to ensure that there is no depreciation, decrease in yield, or cessation of operation of the business, and that the lessee must, in principle, unless otherwise provided, respect the purpose of the business, it can be accepted that, within the framework of a standard contract and in a general manner, the lease-manager does indeed control the conduct of the company's strategy."</w:t>
      </w:r>
    </w:p>
    <w:p>
      <w:r>
        <w:t>6. In the present case, the lease-management contract concluded by the parties provides that "the lease-manager will operate the business for its own account and at its own risk, while permanently complying with the standards and regulations applicable to hotels of the same category as the hotel."</w:t>
      </w:r>
    </w:p>
    <w:p>
      <w:r>
        <w:t>7. Furthermore, the lease-management contract concluded by SEHM and SHDM has a duration of […] years. This duration is sufficient to consider that the lease-management contract, which confers on SHDM control over the management and resources of the Pullman Paris Montparnasse hotel and succeeds a contract of only […] years, induces a structural change in the relevant markets. Therefore, the lease-management by SHDM of the Pullman Paris Montparnasse hotel constitutes a concentration operation within the meaning of Article L. 430-1 of the Commercial Code.</w:t>
      </w:r>
    </w:p>
    <w:p>
      <w:r>
        <w:t>8. The concerned companies together achieve a total worldwide turnover excluding taxes of more than 150 million euros (AccorHotels group: 5.6 billion euros for the fiscal year ending December 31, 2015; Pullman Paris Montparnasse hotel: […] euros for the same fiscal year). Each of these companies has achieved, in France, a turnover exceeding 50 million euros (AccorHotels group: […] euros for the fiscal year ending December 31, 2015; Pullman Paris Montparnasse hotel: […] euros for the same fiscal year). Given these turnover figures, the operation does not fall under the jurisdiction of the European Union. On the other hand, the control thresholds mentioned in I of Article L. 430-2 of the Commercial Code are crossed. This operation is therefore subject to the provisions of Articles L. 430-3 and following of the Commercial Code relating to economic concentration.</w:t>
      </w:r>
    </w:p>
    <w:p>
      <w:r>
        <w:t>II. Delimitation of Relevant Markets</w:t>
      </w:r>
    </w:p>
    <w:p>
      <w:r>
        <w:t>9. The parties are simultaneously active in the hotel sector.</w:t>
      </w:r>
    </w:p>
    <w:p>
      <w:r>
        <w:t>A. SERVICE MARKETS</w:t>
      </w:r>
    </w:p>
    <w:p>
      <w:r>
        <w:t>10. In the hotel sector, decision-making practice has considered several segmentations based on price and level of comfort, according to the classification of establishments, as well as their mode of operation. In this regard, decision-making practice distinguishes integrated hotel chains, voluntary chains, and independent hotels.</w:t>
      </w:r>
    </w:p>
    <w:p>
      <w:r>
        <w:t>11. The Authority has noted that "integrated hotel chains (Accor, B&amp;B Hotels, Louvre Hotel Group, etc.) account for about 20% of hotel establishments representing 40% of accommodation capacity, and voluntary chains (Best Western, Logis Hotel, etc.) account for 30% of establishments and 25% of accommodation capacity. The remaining 50% are independent hotels representing about 35% of accommodation capacity."</w:t>
      </w:r>
    </w:p>
    <w:p>
      <w:r>
        <w:t>12. Regarding the distinction of hotel establishments based on the level of comfort, decision-making practice has considered several segmentation methods: grouping by star pairs (1-2 stars; 2-3 stars; 3-4 stars) or taking into account the immediately lower category and the immediately higher category (1-3 stars, 2-4 stars). The Minister responsible for the economy has, for his part, considered distinguishing an economic category (1-3 stars) and a luxury hotel category (4 stars and above).</w:t>
      </w:r>
    </w:p>
    <w:p>
      <w:r>
        <w:t>13. In this case, the Pullman Paris Montparnasse hotel falls into the category of 4-star hotels.</w:t>
      </w:r>
    </w:p>
    <w:p>
      <w:r>
        <w:t>14. The question of the exact delimitation of service markets can, however, be left open insofar as the conclusions of the competitive analysis remain unchanged, regardless of the segmentations retained.</w:t>
      </w:r>
    </w:p>
    <w:p>
      <w:r>
        <w:rPr>
          <w:b/>
        </w:rPr>
        <w:t>[Pages 4–5]</w:t>
      </w:r>
    </w:p>
    <w:p>
      <w:r>
        <w:t xml:space="preserve">B. GEOGRAPHIC MARKETS  </w:t>
        <w:br/>
        <w:t xml:space="preserve">15. Competition authorities consider that hotel markets can be analyzed both at the national level, particularly for hotel chains, as the competitive conditions are homogeneous across the entire metropolitan territory, and at the local level, notably because the main selection criterion for the client is the location of the establishment.  </w:t>
        <w:br/>
        <w:t xml:space="preserve">16. In the present case, the Pullman Paris Montparnasse hotel is located in Paris.  </w:t>
        <w:br/>
        <w:t xml:space="preserve">17. The operation presents overlaps of activity in France, in the Île-de-France region, in the Paris-inner suburbs area, and in Paris.  </w:t>
        <w:br/>
        <w:t xml:space="preserve">18. The question of the exact definition of geographic markets can, however, be left open, insofar as the conclusions of the competitive analysis remain unchanged, regardless of the delimitation retained.  </w:t>
        <w:br/>
        <w:t xml:space="preserve">III. Competitive Analysis  </w:t>
        <w:br/>
        <w:t xml:space="preserve">19. The activities of the parties overlap in 4-star hotels belonging to an integrated chain (which may be included in the categories of 3-4 star or 4-5 star hotels). The horizontal effects of the operation will therefore be analyzed in these markets.  </w:t>
        <w:br/>
        <w:t xml:space="preserve">At the National Level  </w:t>
        <w:br/>
        <w:t xml:space="preserve">20. Although the AccorHotels group holds significant positions in several hotel markets in France, the acquisition of control of the Pullman Paris Montparnasse hotel results in a marginal overlap.  </w:t>
        <w:br/>
        <w:t xml:space="preserve">21. In the segment of 4-star hotels belonging to an integrated chain, AccorHotels holds its largest market share ([50-60] %). However, the increment resulting from the operation, less than [0-5] points, is not sufficient to create or significantly strengthen its strong position at the national level.  </w:t>
        <w:br/>
        <w:t xml:space="preserve">At the Local Level  </w:t>
        <w:br/>
        <w:t xml:space="preserve">22. Regardless of the geographic level (Île-de-France region, Paris and inner suburbs, Paris) and the market studied, the market share of the new entity remains below 50 %.  </w:t>
        <w:br/>
        <w:t xml:space="preserve">23. AccorHotels' highest position prior to the operation is in the offering of hotels belonging to an integrated chain in Paris and the inner suburbs ([40-50] %). In this market, the Pullman Paris Montparnasse hotel, however, holds an estimated position of [0-5] %, so that AccorHotels' position is not significantly strengthened as a result of the operation in this market where, moreover, there are many hotels belonging to integrated chains, such as Marriott Hotels &amp; Resorts, IHG, Best Western, Starwood Hotels &amp; Resorts, or Hyatt Hotels &amp; Resorts.  </w:t>
        <w:br/>
        <w:t xml:space="preserve">24. The highest position of the Pullman Paris Montparnasse hotel prior to the operation is in the offering of 4-star hotels belonging to an integrated chain in Paris ([5-10] %). In this market, AccorHotels holds an estimated market share of [30-40] % and thus remains well below 50 %, even after taking the operation into account. The new entity will also continue to face competition from numerous integrated hotel chains active in Île-de-France.  </w:t>
        <w:br/>
        <w:t xml:space="preserve">25. Therefore, the notified operation is not likely to harm competition in the hotel markets.  </w:t>
        <w:br/>
        <w:t xml:space="preserve">DECIDES  </w:t>
        <w:br/>
        <w:t xml:space="preserve">Sole Article: The operation notified under number 17-027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