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https://www.autoritedelaconcurrence.fr/fr/decision-de-controle-des-concentrations/relative-la-reprise-du-reseau-urbania-par-la-societe-ulysse</w:t>
      </w:r>
    </w:p>
    <w:p>
      <w:r>
        <w:t>Pages translated : 2</w:t>
      </w:r>
    </w:p>
    <w:p/>
    <w:p>
      <w:r>
        <w:rPr>
          <w:b/>
        </w:rPr>
        <w:t>[Pages 1–2]</w:t>
      </w:r>
    </w:p>
    <w:p>
      <w:r>
        <w:t xml:space="preserve">FRENCH REPUBLIC  </w:t>
        <w:br/>
        <w:t>Letter No. 11-DCC-17 of February 1, 2011, regarding the acquisition of the Urbania network by the company Ulysse Investissements SAS</w:t>
      </w:r>
    </w:p>
    <w:p>
      <w:r>
        <w:t>Sirs,</w:t>
      </w:r>
    </w:p>
    <w:p>
      <w:r>
        <w:t>On December 29, 2010, you submitted to the mergers department of the Autorité de la concurrence a complete file concerning the acquisition of the Urbania network by the company Ulysse Investissements SAS, an operation formalized by a conciliation protocol agreement dated September 6, 2010.</w:t>
      </w:r>
    </w:p>
    <w:p>
      <w:r>
        <w:t>Ulysse Investissements SAS is a company newly created for the purposes of this operation. Its capital is entirely held by the company CEGP1, a company wholly owned by Mr. Philippe Nguyen. CEGP notably develops investment activities and public-private partnerships. Furthermore, Mr. Nguyen was until 2009 the controlling shareholder of the company Investors in Private Equity (hereinafter "IPE"), a company that notably exercises joint control alongside SNCF over the company Ermewa, a company that rents out wagons and containers.</w:t>
      </w:r>
    </w:p>
    <w:p>
      <w:r>
        <w:t>The Urbania network consists of 105 real estate agencies offering property management services to individuals and businesses, such as co-ownership management, rental management, and real estate transactions. The Urbania network is composed of different companies, which themselves hold the parent company of this network. The target will be fully transferred to Ulysse Investissements SAS and the operation, in this respect, constitutes a concentration within the meaning of Article L. 430-1 of the Commercial Code.</w:t>
      </w:r>
    </w:p>
    <w:p>
      <w:r>
        <w:t>However, paragraph 91 of the Guidelines of the Autorité de la concurrence regarding the control of concentrations specifies that "the notifying parties must provide turnover figures that reflect the economic situation of the companies at the time of signing the binding act that allows for notification. Therefore, all turnover figures must be assessed as of the date of the last closed financial year and adjusted if necessary, to take into account permanent changes in the economic reality of the company, following mergers or acquisitions that occurred subsequently. In principle, reference should be made to the last certified turnover. However, in the event of a significant divergence between the turnover of the last closed financial year, not yet certified, and the previous one that has been certified, the most recent turnover may be taken into account for the calculation of turnover, even if it is not yet certified."</w:t>
      </w:r>
    </w:p>
    <w:p>
      <w:r>
        <w:t>In this case, IPE sold its stake in the capital of Ermewa to SNCF in February 20102 and the turnover attributable to IPE has been 6.4 million euros since the sale, entirely generated in France. Mr. Nguyen has also withdrawn from the capital of IPE, of which he still assumes the role of chairman in order to assist with the sale of the other holdings held by the company. The turnover of the company CEGP was approximately 0.2 million euros in 2009, resulting in the turnover of the acquiring group being less than 50 million euros, even if it were to be considered that Mr. Nguyen retains de facto control over IPE.</w:t>
      </w:r>
    </w:p>
    <w:p>
      <w:r>
        <w:t>Thus, the thresholds defined in point I of Article L. 430-2 of the Commercial Code are not met, since only the target generates a turnover in France exceeding 50 million euros, the notified operation does not concern at least two companies whose turnover generated in France exceeds 50 million euros.</w:t>
      </w:r>
    </w:p>
    <w:p>
      <w:r>
        <w:t>Consequently, the operation is not subject to the concentration control provided for in Articles L. 430-3 and following of the Commercial Code.</w:t>
      </w:r>
    </w:p>
    <w:p>
      <w:r>
        <w:t xml:space="preserve">The Vice-President,  </w:t>
        <w:br/>
        <w:t xml:space="preserve">Anne Perrot  </w:t>
        <w:br/>
        <w:t xml:space="preserve">Autorité de la concurrence  </w:t>
        <w:br/>
        <w:t>2 The exclusive control of the company Ermewa by SNCF was the subject of a notification to the European Commission, which authorized this operation on January 22, 2010 (case No. COMP/M. 5579 – TPL/Ermewa).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