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https://www.autoritedelaconcurrence.fr/fr/decision/relative-la-saisine-de-la-societe-france-incendie</w:t>
      </w:r>
    </w:p>
    <w:p>
      <w:r>
        <w:t>Pages translated : 7</w:t>
      </w:r>
    </w:p>
    <w:p/>
    <w:p>
      <w:r>
        <w:rPr>
          <w:b/>
        </w:rPr>
        <w:t>[Pages 1–3]</w:t>
      </w:r>
    </w:p>
    <w:p>
      <w:r>
        <w:t xml:space="preserve">FRENCH REPUBLIC  </w:t>
        <w:br/>
        <w:t xml:space="preserve">Decision No. 05-D-23 of May 18, 2005  </w:t>
        <w:br/>
        <w:t>concerning the referral from the company France Incendie</w:t>
      </w:r>
    </w:p>
    <w:p>
      <w:r>
        <w:t xml:space="preserve">The Competition Council (permanent commission),  </w:t>
        <w:br/>
        <w:t xml:space="preserve">Having regard to the letter registered on February 22, 2001, under number F 1292, by which the company France Incendie referred to the Competition Council practices implemented in the sector of fixed fire safety installations;  </w:t>
        <w:br/>
        <w:t xml:space="preserve">Having regard to the letters registered on April 13, May 10, and June 6, 2001, under number F 1302, by which the company France Incendie referred to the Competition Council practices implemented in the sector of fire extinguishers;  </w:t>
        <w:br/>
        <w:t xml:space="preserve">Having regard to Book IV of the Commercial Code relating to price freedom and competition and Decree 2002-689 of April 30, 2002, setting the conditions for its application;  </w:t>
        <w:br/>
        <w:t xml:space="preserve">Having regard to the observations presented by the company France Incendie and by the Government Commissioner;  </w:t>
        <w:br/>
        <w:t xml:space="preserve">Having regard to the other documents in the file;  </w:t>
        <w:br/>
        <w:t xml:space="preserve">The rapporteur, the general rapporteur, the Government Commissioner, and the representatives of the company France Incendie heard during the session of April 27, 2005;  </w:t>
        <w:br/>
        <w:t>Adopts the following decision:</w:t>
      </w:r>
    </w:p>
    <w:p>
      <w:r>
        <w:t xml:space="preserve">I. On the maintenance of fire detectors and extinguishers  </w:t>
        <w:br/>
        <w:t xml:space="preserve">A. THE REFERRAL  </w:t>
        <w:br/>
        <w:t>1. In its referral, the company France Incendie argues that the manufacturers-installers of fire detectors prevent maintenance companies from intervening on their equipment by limiting access to the control panel that commands the detectors through access codes and non-decryptable software.</w:t>
      </w:r>
    </w:p>
    <w:p>
      <w:r>
        <w:t xml:space="preserve">B. THE ELEMENTS COLLECTED DURING THE INSTRUCTION  </w:t>
        <w:br/>
        <w:t xml:space="preserve">1. THE FIRE SAFETY SECTOR  </w:t>
        <w:br/>
        <w:t xml:space="preserve">2. The fire safety system comprises two subsets: a fire detection system and a fire safety system. The first receives information from detectors and manual call points and transmits it to the second, which is responsible for issuing commands to the activated safety device.  </w:t>
        <w:br/>
        <w:t xml:space="preserve">3. The fire detection system includes automatic detectors, manual alarm call points, and the control panel (formerly known as the alarm center). There are several categories of detectors: smoke detectors, heat detectors, flame detectors, and multifunction detectors.  </w:t>
        <w:br/>
        <w:t>4. Most of the equipment is installed in establishments open to the public, whether they are public establishments or private organizations (hospitals, schools, businesses, etc.).</w:t>
      </w:r>
    </w:p>
    <w:p>
      <w:r>
        <w:t xml:space="preserve">2. SUPPLIERS OF FIRE DETECTION SYSTEMS  </w:t>
        <w:br/>
        <w:t xml:space="preserve">5. The main suppliers of fire detection systems are as follows (data from the French Group of Electronic Fire Safety Industries (GESI) 2001):  </w:t>
        <w:br/>
        <w:t xml:space="preserve">Member | Revenue in K€ | Revenue K€ | Total Revenue K€ | % total  </w:t>
        <w:br/>
        <w:t xml:space="preserve">Supplies | Installation/Maint  </w:t>
        <w:br/>
        <w:t xml:space="preserve">Siemens (Cerberus) | 135,000 | 70,000 | 205,000 | 51%  </w:t>
        <w:br/>
        <w:t xml:space="preserve">ATSE (CHUBB) | 60,000 | 36,000 | 96,000 | 24%  </w:t>
        <w:br/>
        <w:t xml:space="preserve">DEF | 15,000 | 26,000 | 41,000 | 10%  </w:t>
        <w:br/>
        <w:t xml:space="preserve">ERIS | - | 10,000 | 11,300 | 3%  </w:t>
        <w:br/>
        <w:t xml:space="preserve">ESSER | 8,400 | 1,300 | 9,700 |  </w:t>
        <w:br/>
        <w:t xml:space="preserve">Mather et Platt | - | 6,900 | 6,900 |  </w:t>
        <w:br/>
        <w:t xml:space="preserve">Europe sécurité | 735 | 5,880 | 6,622 |  </w:t>
        <w:br/>
        <w:t xml:space="preserve">Cooper | 5,600 | 300 | 5,900 |  </w:t>
        <w:br/>
        <w:t xml:space="preserve">Johnson Control CEMIS | - | 5,500 | 5,500 |  </w:t>
        <w:br/>
        <w:t xml:space="preserve">Aviss | 33,000 | 1,700 | 5,032 |  </w:t>
        <w:br/>
        <w:t xml:space="preserve">ADT | - | 2,200 | 2,200 |  </w:t>
        <w:br/>
        <w:t xml:space="preserve">Rentokil Initial Delta | - | 1,700 | 1,700 |  </w:t>
        <w:br/>
        <w:t xml:space="preserve">Protection |  </w:t>
        <w:br/>
        <w:t xml:space="preserve">Legrand | 1,600 | - | 1,600 |  </w:t>
        <w:br/>
        <w:t xml:space="preserve">URA | 635 | - | 635 |  </w:t>
        <w:br/>
        <w:t>Total | 230,000 | 170,000 | 400,089 | 100%</w:t>
      </w:r>
    </w:p>
    <w:p>
      <w:r>
        <w:t>6. The first two suppliers belong to multinational corporate groups. The company Cerberus belongs to the Siemens group, and the company ATSE, a subsidiary of Sicli, is part of the Williams group.</w:t>
      </w:r>
    </w:p>
    <w:p>
      <w:r>
        <w:t>7. The data provided by the French Group of Electronic Fire Safety Industries (GESI) does not allow for the isolation of installation and maintenance. However, according to this professional union, GESI members would only represent 40% of installations, with the remaining 60% being carried out by installation companies of all sizes. Thus, more than half of fire detection installations are not installed by manufacturers but by third-party companies.</w:t>
      </w:r>
    </w:p>
    <w:p>
      <w:r>
        <w:t xml:space="preserve">3. MAINTENANCE OF FIRE DETECTION SYSTEMS  </w:t>
        <w:br/>
        <w:t xml:space="preserve">8. As with many high-tech products such as elevators or automatic exchanges, the operation of fire detection control panels involves the use of computing. To intervene on these control panels, users (site owners) or maintainers must have access to certain information (codes, software, settings) and spare parts.  </w:t>
        <w:br/>
        <w:t xml:space="preserve">9. The degrees of accessibility of different equipment vary according to manufacturers and equipment. For a large number of equipment, maintainers have free access to spare parts and the information necessary for their interventions. For other equipment, manufacturers limit access to certain interventions or to certain professionals. Thus, in some cases, access to the necessary information may be limited to professionals who justify a level of qualification, who have undergone training, who have purchased a usage license, or who have committed to certain obligations. The examination of behaviors on this point revealed no discrimination or requirements likely to distort competition in the maintenance market.  </w:t>
        <w:br/>
        <w:t xml:space="preserve">10. Furthermore, the examination of the maintenance market showed that it is indeed a market open to competition.  </w:t>
        <w:br/>
        <w:t xml:space="preserve">11. At the demand level, public and private clients distinguish, in their tender procedures, between works contracts, and thus installation, and maintenance contracts. Most of the time, installation contracts and maintenance contracts are independent, and maintenance contracts are regularly put out to tender or renegotiated.  </w:t>
        <w:br/>
        <w:t xml:space="preserve">12. At the supply level, in addition to manufacturers who account for approximately 40% of installations and 30% of maintenance contracts, there are numerous small and medium-sized enterprises that intervene for maintenance.  </w:t>
        <w:br/>
        <w:t>13. Installers do not always hold maintenance contracts. According to the company Cerberus, on their national fleet of fire detection equipment, they maintain one-third of their installations, competitors maintain another third, and the rest of the installations are not maintained. According to the company ATSE, among the hospitals in the Île-de-France region equipped with ATSE brand equipment, only 50% have a maintenance contract with the manufacturer. Thus, maintenance for more than half of fire detection installations is not provided by the installer or the manufacturer.</w:t>
      </w:r>
    </w:p>
    <w:p>
      <w:r>
        <w:rPr>
          <w:b/>
        </w:rPr>
        <w:t>[Pages 4–6]</w:t>
      </w:r>
    </w:p>
    <w:p>
      <w:r>
        <w:t>II. On the Certification of Fire Extinguishers</w:t>
      </w:r>
    </w:p>
    <w:p>
      <w:r>
        <w:t>14. In its referral, the company France Incendie argues that the standards and certification of certain fire extinguishers limit competition. It requests that new construction standards be implemented.</w:t>
      </w:r>
    </w:p>
    <w:p>
      <w:r>
        <w:t>15. Pursuant to Article L. 410-1 of the Commercial Code, the rules relating to anti-competitive practices apply to all production, distribution, and service activities, including those carried out by public entities. Thus, public entities are not exempt from competition law, provided they engage in production, distribution, and service activities.</w:t>
      </w:r>
    </w:p>
    <w:p>
      <w:r>
        <w:t>16. The allocation of competencies between the Competition Council and the administrative courts for the application of competition rules to public entities or private entities entrusted with a public service mission is currently defined according to the criteria established by the conflict tribunal, whose case law is uniformly applied by judicial and administrative courts.</w:t>
      </w:r>
    </w:p>
    <w:p>
      <w:r>
        <w:t>17. If the contested measure under competition law implements public power prerogatives related to a public service mission, the administrative court is solely competent to assess its legality and, if necessary, to rule on the liability incurred by these entities.</w:t>
      </w:r>
    </w:p>
    <w:p>
      <w:r>
        <w:t>18. However, it follows from abundant case law that AFNOR, entrusted with a public service mission, uses its public power prerogatives in its standardization activity. Consequently, the assessment of the legality of AFNOR's behavior in its standardization activity falls within the jurisdiction of the administrative courts.</w:t>
      </w:r>
    </w:p>
    <w:p>
      <w:r>
        <w:t>19. The Council of State recalled this analysis in a decision dated June 5, 2002. In this decision, it specifies that it follows from the provisions of Article 1 of the decree of January 26, 1984, and Article 11 of the decree of January 26, 1984, that AFNOR fulfills a public service mission and implements public power prerogatives: "Considering that it follows from these provisions that, when the board of directors of the French Association for Standardization approves a standard that can be made mandatory and can be subject to a conformity sanction by the national NF mark, this decision pertains to the exercise of public power prerogatives; the same applies to the decision by which the general director of the French Association for Standardization approves the rules concerning the characteristics that a product must present, in terms of its nature, properties, and qualities, for which the use of the NF mark is requested, which the association is authorized to grant and whose sole purpose is to sanction conformity to a homologated standard; therefore, the request of SARL PLETTAC ECHAFAUDAGES raises a dispute related to the exercise by the French Association for Standardization of public power prerogatives for the execution of its public service mission; consequently, the French Association for Standardization is not justified in arguing that the request of SARL PLETTAC ECHAFAUDAGES should be rejected as brought before a court of incompetent jurisdiction."</w:t>
      </w:r>
    </w:p>
    <w:p>
      <w:r>
        <w:t>20. The Competition Council, relying on this consistent case law, considered, in its decision No. 03-D-13 relating to a referral from SARL PIL, that the decision to approve a standard and the affixing of the NF mark by AFNOR did not fall within its scope of competence.</w:t>
      </w:r>
    </w:p>
    <w:p>
      <w:r>
        <w:t>III. On the Organization of Public Procurement Procedures</w:t>
      </w:r>
    </w:p>
    <w:p>
      <w:r>
        <w:t>21. The company France Incendie requests the annulment of certain public procurement procedures organized by public entities (public hospitals, regional council), on the grounds that the drafting of certain administrative and technical specifications limits competition.</w:t>
      </w:r>
    </w:p>
    <w:p>
      <w:r>
        <w:t>22. However, it is established case law that the assessment of how public entities organize their procurement procedures does not fall within the competence of the Competition Council but that of the administrative courts.</w:t>
      </w:r>
    </w:p>
    <w:p>
      <w:r>
        <w:t>23. The Council recently reiterated this case law in its decision No. 03-D-56 relating to a referral from the company Sotradex. In this decision, it specified: "Pursuant to the first paragraph of Article L. 462-8 of the Commercial Code, 'the Competition Council may declare, by reasoned decision, the referral inadmissible (...) if it considers that the facts invoked do not fall within its scope of competence.' In its ruling of October 18, 1999 (Prefect of the Ile-de-France region, Prefect of Paris v. Court of Appeal of Paris, Aéroports de Paris and Air France v. TAT European Airlines), the conflict tribunal ruled that while public entities, in so far as they carry out production, distribution, or service activities, may be sanctioned by the Competition Council acting under the control of the judiciary, the decisions by which these entities fulfill their public service mission using public power prerogatives fall within the competence of the administrative jurisdiction to assess their legality and, if necessary, to rule on the liability incurred by these public entities. In its decision No. 02-D-18 relating to the practices of the State and AFAN (Association for National Archaeological Excavations), the Competition Council declared itself incompetent to assess the legality of practices attributable to the State consisting, on the one hand, of refusing to comply with the provisions of the public procurement code, and on the other hand, of exerting pressure to impose AFAN as a service provider to the department of Pyrénées-Orientales for conducting preventive archaeological excavation works. In this case, the measures that may have been taken by the DCMAT of the Ministry of Defense for organizing demining operations and neutralizing weapons or munitions are decisions made by the State in the context of organizing a public service mission, using public power prerogatives. The Competition Council is not competent to assess their legality. It should be noted that the facts invoked do not fall within the scope of competence of the Competition Council and to apply the provisions of Article L. 462-8 of the aforementioned Commercial Code."</w:t>
      </w:r>
    </w:p>
    <w:p>
      <w:r>
        <w:t>IV. Discussion</w:t>
      </w:r>
    </w:p>
    <w:p>
      <w:r>
        <w:t>A. ON THE MAINTENANCE OF FIRE DETECTORS AND EXTINGUISHERS</w:t>
      </w:r>
    </w:p>
    <w:p>
      <w:r>
        <w:t>24. The applicant has not been able to provide convincing evidence to support its allegations that manufacturers prevent maintenance companies from intervening on their equipment. The documents provided to the investigators, after several requests, contain no testimony of refusal to transmit information, refusal to participate in training sessions, invoices for spare parts or services at manifestly excessive rates, delivery times incompatible with the needs of the maintainer, or refusal to sell by the manufacturers.</w:t>
      </w:r>
    </w:p>
    <w:p>
      <w:r>
        <w:t>25. The applicant has not been able to provide the investigators with requests from its side to which the manufacturers did not respond. The only documents it provided are, in fact, excerpts from the technical specifications of public contracts mentioning brands of control panels. Finally, the officials of this company acknowledge that their business does not face any issues in purchasing fire detection equipment or using this equipment and that it is able to respond to numerous calls for tenders.</w:t>
      </w:r>
    </w:p>
    <w:p>
      <w:r>
        <w:t>26. Furthermore, the investigation did not reveal any other anti-competitive behaviors prohibited by the provisions of Articles L. 420-1 and L. 420-2 of the Commercial Code.</w:t>
      </w:r>
    </w:p>
    <w:p>
      <w:r>
        <w:t>27. Pursuant to Article L. 464-6 of the Commercial Code, "When no practice likely to harm competition in the market is established, the Competition Council may decide, after the author of the referral and the Government Commissioner have been able to consult the file and make their observations known, that there is no need to continue the procedure."</w:t>
      </w:r>
    </w:p>
    <w:p>
      <w:r>
        <w:t>28. No element of the file supports the applicant's allegations or reveals behaviors contrary to the provisions of Articles L. 420-1 and L. 420-2 of the Commercial Code.</w:t>
      </w:r>
    </w:p>
    <w:p>
      <w:r>
        <w:t>29. It follows from the above that the provisions of Article L. 464-6 of the Commercial Code should be applied.</w:t>
      </w:r>
    </w:p>
    <w:p>
      <w:r>
        <w:t>B. ON THE CERTIFICATION OF EXTINGUISHERS AND PUBLIC PROCUREMENT</w:t>
      </w:r>
    </w:p>
    <w:p>
      <w:r>
        <w:t>30. Article L. 462-8, paragraph 1 of the Commercial Code states that "the Competition Council may declare, by reasoned decision, the referral inadmissible for lack of interest or quality to act of the author thereof or if the facts are time-barred within the meaning of Article L. 462-7 or if it considers that the facts invoked do not fall within its scope of competence."</w:t>
      </w:r>
    </w:p>
    <w:p>
      <w:r>
        <w:t>31. Since AFNOR is entrusted with a public service mission and implements public power prerogatives for its standardization activity, the Competition Council is not competent to rule on the conformity of the standards applicable to fire extinguishers in light of competition law.</w:t>
      </w:r>
    </w:p>
    <w:p>
      <w:r>
        <w:rPr>
          <w:b/>
        </w:rPr>
        <w:t>[Pages 7–7]</w:t>
      </w:r>
    </w:p>
    <w:p>
      <w:r>
        <w:t>32. The Competition Council is also not competent to rule on the conformity of specifications or the organization methods of certain calls for tenders in relation to competition law.</w:t>
      </w:r>
    </w:p>
    <w:p>
      <w:r>
        <w:t>33. It follows from the above that the referral on these two points is not admissible, pursuant to Article L. 462-8, paragraph 1 of the Commercial Code.</w:t>
      </w:r>
    </w:p>
    <w:p>
      <w:r>
        <w:t>DECISION</w:t>
      </w:r>
    </w:p>
    <w:p>
      <w:r>
        <w:t>Article 1: There is no need to continue the procedure regarding the behavior of fire detector manufacturers.</w:t>
      </w:r>
    </w:p>
    <w:p>
      <w:r>
        <w:t>Article 2: The referral is inadmissible concerning the standards and methods of calls for competition for fire extinguishers.</w:t>
      </w:r>
    </w:p>
    <w:p>
      <w:r>
        <w:t>Deliberated on the oral report of Ms. Sévajols, by Mr. Lasserre, president, Ms. Aubert, Mr. Nasse, and Ms. Perrot, vice-presidents.</w:t>
      </w:r>
    </w:p>
    <w:p>
      <w:r>
        <w:t xml:space="preserve">The session secretary The president,  </w:t>
        <w:br/>
        <w:t xml:space="preserve">Catherine Duparcq Bruno Lasserre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