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https://www.autoritedelaconcurrence.fr/fr/decision/relative-la-saisine-de-la-societe-la-cinq-sa</w:t>
      </w:r>
    </w:p>
    <w:p>
      <w:r>
        <w:t>Pages translated : 1</w:t>
      </w:r>
    </w:p>
    <w:p/>
    <w:p>
      <w:r>
        <w:rPr>
          <w:b/>
        </w:rPr>
        <w:t>[Pages 1–1]</w:t>
      </w:r>
    </w:p>
    <w:p>
      <w:r>
        <w:t xml:space="preserve">FRENCH REPUBLIC  </w:t>
        <w:br/>
        <w:t xml:space="preserve">Decision No. 92-D-58 of October 28, 1992  </w:t>
        <w:br/>
        <w:t xml:space="preserve">concerning the referral by the company La Cinq S.A.  </w:t>
        <w:br/>
        <w:t xml:space="preserve">The Competition Council (standing committee),  </w:t>
        <w:br/>
        <w:t xml:space="preserve">Having regard to the letter registered on July 10, 1991, under number F 424, by which the company La Cinq S.A. referred to the Competition Council practices attributed to the French Football Federation and the Union of European Football Associations;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letter from the company La Cinq S.A., registered on September 25, 1992;  </w:t>
        <w:br/>
        <w:t xml:space="preserve">Having regard to the other documents in the file;  </w:t>
        <w:br/>
        <w:t xml:space="preserve">The rapporteur, the general rapporteur, and the Government Commissioner heard;  </w:t>
        <w:br/>
        <w:t xml:space="preserve">Considering that, by the aforementioned letter registered on September 25, 1992, the company La Cinq S.A. informed the council that the action it initiated "is no longer relevant due to its legal situation and therefore requests that it not be processed";  </w:t>
        <w:br/>
        <w:t xml:space="preserve">Considering that, in the state of the file, there is no need for the council to take action ex officio,  </w:t>
        <w:br/>
        <w:t xml:space="preserve">Decides:  </w:t>
        <w:br/>
        <w:t xml:space="preserve">Sole Article. - The file registered under number F 424 is closed.  </w:t>
        <w:br/>
        <w:t xml:space="preserve">Adopted on October 28, 1992, on the oral report of Ms. Renée Galène, by Messrs. Laurent, president, Béteille, vice-president, and Schmidt, member, called to sit in place of Mr. Pineau, vice-president, prevented.  </w:t>
        <w:br/>
        <w:t xml:space="preserve">The substitute general rapporteur, The president,  </w:t>
        <w:br/>
        <w:t xml:space="preserve">Mr. Santarelli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