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https://www.autoritedelaconcurrence.fr/fr/decision/relative-la-saisine-de-la-societe-nouvelle-de-mecanique-et-doutillage-snmo</w:t>
      </w:r>
    </w:p>
    <w:p>
      <w:r>
        <w:t>Pages translated : 6</w:t>
      </w:r>
    </w:p>
    <w:p/>
    <w:p>
      <w:r>
        <w:rPr>
          <w:b/>
        </w:rPr>
        <w:t>[Pages 1–3]</w:t>
      </w:r>
    </w:p>
    <w:p>
      <w:r>
        <w:t xml:space="preserve">COMPETITION COUNCIL  </w:t>
        <w:br/>
        <w:t xml:space="preserve">Decision No. 00-D-73 of January 16, 2001  </w:t>
        <w:br/>
        <w:t xml:space="preserve">concerning the referral from the Société nouvelle de mécanique et d’outillage (SNMO)  </w:t>
        <w:br/>
        <w:t xml:space="preserve">The Competition Council (permanent commission),  </w:t>
        <w:br/>
        <w:t xml:space="preserve">Having regard to the letter registered on April 15, 1996, under number F 864, by which the Société nouvelle de mécanique (SNMO) referred the Competition Council regarding the practices of the company EDF and the company SIGED;  </w:t>
        <w:br/>
        <w:t xml:space="preserve">Having regard to Book IV of the Commercial Code and Decree No. 86-1309 of December 29, 1986, as amended, implementing Ordinance No. 86-1243 of December 1, 1986;  </w:t>
        <w:br/>
        <w:t xml:space="preserve">Having regard to Decision No. 96-MC-05 of June 11, 1996, of the Competition Council;  </w:t>
        <w:br/>
        <w:t xml:space="preserve">Having regard to the observations presented by the company SNMO and by the Government Commissioner;  </w:t>
        <w:br/>
        <w:t xml:space="preserve">Having regard to the other documents in the file;  </w:t>
        <w:br/>
        <w:t xml:space="preserve">The rapporteur, the general rapporteur, and the Government Commissioner heard during the session of November 15, 2000, SNMO having been duly summoned;  </w:t>
        <w:br/>
        <w:t xml:space="preserve">Adopts the decision based on the findings (I) and the reasons (II) set out below:  </w:t>
        <w:br/>
        <w:t xml:space="preserve">I. - Findings  </w:t>
        <w:br/>
        <w:t xml:space="preserve">A. - The regulation, product characteristics, and the market  </w:t>
        <w:br/>
        <w:t xml:space="preserve">1. The rules applicable to the transport of contaminated objects  </w:t>
        <w:br/>
        <w:t xml:space="preserve">The regulation of the transport of contaminated objects is developed based on recommendations issued internationally by the International Atomic Energy Agency (IAEA), an agency of the United Nations (UN), recommendations that are then incorporated into community directives and transposed by member states.  </w:t>
        <w:br/>
        <w:t xml:space="preserve">French regulation is included in the Regulation for the Transport of Dangerous Goods by Road (RTMDR). This regulation sets forth the provisions applicable to all road transport of dangerous materials or objects (explosives, gases, flammable, toxic, and radioactive materials). This document is updated based on changes occurring at the international level, within varying timeframes. Consequently, the new provisions are known to the competent authorities and operators as soon as they are published by the IAEA and even before the domestic regulation is updated.  </w:t>
        <w:br/>
        <w:t xml:space="preserve">The RTMDR defines the characteristics of different packaging and the various levels of contamination of the transported objects. Regarding contamination levels, the regulation distinguishes, on the one hand, superficially contaminated objects (OCS) and, on the other hand, materials of low specific activity.  </w:t>
        <w:br/>
        <w:t xml:space="preserve">The RTMDR also defines the different types of packaging and distinguishes several categories of packaging IP1, IP2, IP3, A, and B, which vary greatly from one category to another and within each category; these products are also very different depending on the intended use. The materials used can vary widely, as can the dimensions of these packages.  </w:t>
        <w:br/>
        <w:t>The referral concerns Type A packaging, intended for the transport of tools, equipment, or spare parts contaminated by radioactivity in nuclear power plants, particularly the packaging purchased by EDF from the calls for tenders in June 1994 and by other stakeholders, since the modification of international regulations regarding the transport of contaminated products.</w:t>
      </w:r>
    </w:p>
    <w:p>
      <w:r>
        <w:t xml:space="preserve">In order to bring French regulations into compliance with the IAEA regulation, as amended in 1985, the maximum contamination thresholds for superficially contaminated objects were modified by the RTMDR in 1992. The provisions of the decree of September 15, 1992, set the effective date of the new provisions to July 1, 1993. From that date, Type A packaging must be used for the road transport of contaminated objects, whereas, until then, only IP2 packaging, which is less efficient, was used. These provisions required users, including EDF, to change their packaging. However, by decree of July 1, 1993, the Minister of Transport postponed the effective date of the new provisions by 18 months.  </w:t>
        <w:br/>
        <w:t xml:space="preserve">2. The stakeholders  </w:t>
        <w:br/>
        <w:t xml:space="preserve">The applicants or users of packaging are primarily companies that provide maintenance and servicing for nuclear power plants, including EDF itself (mainly its operational technical unit), but also Framatome, the leading operator in maintenance for nuclear power plants, and transporters who lease the packaging to these service providers.  </w:t>
        <w:br/>
        <w:t xml:space="preserve">The main manufacturers of packaging are companies in piping, boiler-making, and mechanics. It can be estimated that about twenty companies are interested in this sector, but those that can claim real experience in this field, such as SNMO or SIGED, are fewer in number.  </w:t>
        <w:br/>
        <w:t xml:space="preserve">SNMO referred the Competition Council regarding the practices of EDF and the company SIGED, which manufactures competing products, arguing that EDF requested and obtained the postponement of the effective date of the regulation to favor SIGED while it itself was, at the time, the only bidder for the packaging of the required size. This action would be the result of an agreement between EDF, which is also the dominant operator in the market, and its supplier, the company SIGED. It would have had the effect of excluding SNMO from the calls for tenders launched by EDF in 1994 and 1995, while SNMO was in a situation of economic dependence on EDF.  </w:t>
        <w:br/>
        <w:t xml:space="preserve">B. - The companies involved  </w:t>
        <w:br/>
        <w:t xml:space="preserve">The company SNMO (Société nouvelle de mécanique et d’outillage) resulted from the acquisition in 1991 of two industrial boiler-making companies, the company ECM and the Société nouvelle de métallurgie orangeoise (SNMO), which was, until 1987, a subsidiary of the CEA. These two companies already had a manufacturing activity for packaging for the transport of radioactive materials on behalf of Framatome and EDF. In 1992-1993, SNMO developed its own range of Type A packaging. The company has shifted towards the manufacturing and sale of pressure blasting cabins, which currently represents about 80% of its turnover.  </w:t>
        <w:br/>
        <w:t xml:space="preserve">SIGED is a public limited company in industrial boiler-making. It achieved a turnover of approximately 130 million francs in 1995, of which 20% was with EDF. Other clients are from the aerospace sector (15-20%), oil (10-15%), chemical (10-12%), agri-food, etc. The activity of manufacturing packaging for the nuclear sector began in 1988. By 1990, the company was able to produce Type A packaging and delivered its first orders to the company Cargo Face One and to the companies Intercontrôle and Socodei in the first half of 1993. The manufacturing of smaller-sized Type A packaging only began after mid-1994, when the company was declared the successful bidder for two contracts (by the company Intercontrôle and the UTO service of EDF). These two contracts represented approximately 500 packages of various sizes.  </w:t>
        <w:br/>
        <w:t xml:space="preserve">EDF is, under Article 2 of Law No. 46-628 of April 8, 1946, on the nationalization of electricity and gas, a public industrial and commercial establishment. As such, EDF is subject to the provisions of competition law. The majority of purchases of materials for the transport of contaminated products by the public establishment are made by its Operational Technical Unit (UTO). EDF is one of the main buyers of Type A packaging, although it is surpassed by the company Framatome regarding the purchase of boxes. Thus, between 1989 and 1995, EDF purchased 472 boxes for 13,588,000 francs and ten other large packages for 5,050,000 francs, totaling 18,638,000 francs, while Framatome purchased 1,399 boxes worth a total of 18,380,000 francs during the same period (the average purchase price of a container is much higher than that of a box, around 500,000 francs, while that of boxes is highly variable).  </w:t>
        <w:br/>
        <w:t xml:space="preserve">Upon the publication of the ministerial decree of September 15, 1992, EDF initially sought to use IP2 packaging by adapting them, which proved impossible. Therefore, in June 1993, EDF requested and then obtained from the Minister of Transport a postponement of the effective date of the new regulation. It was not until 1994 that the public establishment equipped itself with Type A containers, through the disputed 1994 call for tenders (384 boxes and six containers), and then by launching new calls for tenders in 1996 and 1997.  </w:t>
        <w:br/>
        <w:t xml:space="preserve">C. - Observed Practices  </w:t>
        <w:br/>
        <w:t xml:space="preserve">1. The Request to Postpone the Effective Date of the New Regulation  </w:t>
        <w:br/>
        <w:t xml:space="preserve">In June 1993, EDF requested an exemption from the provisions of the RTMDR. On July 7, 1993, the Minister of Equipment, Transport, and Tourism informed EDF that, after consulting the Commission on the Transport of Dangerous Goods, an order provisionally authorizing the use of IP2 packaging would soon be published in the Official Journal. Indeed, the order of July 1, 1993, published in the Official Journal on July 18, extends the transitional period by 18 months.  </w:t>
        <w:br/>
        <w:t xml:space="preserve">2. The Purchase of Packaging by EDF in June 1994  </w:t>
        <w:br/>
        <w:t xml:space="preserve">In June 1994, EDF issued European calls for tenders for two contracts, one concerning the purchase of six Type A containers and 56 IP2 containers, the other for the supply of 384 Type A boxes of 49 different models.  </w:t>
        <w:br/>
        <w:t xml:space="preserve">According to the representative of the UTO service, these contracts could not be launched before June 1994, as the specifications were not definitively finalized, although a draft had been issued internally in May 1993. The length of the procedure would be justified by the consultation of experts from the Ministry of Transport, by EDF's internal operating rules, as well as by the obligation to follow the procedure provided by Community Directive No. 90-531 on supply and works contracts, the total amount of the contract being above 2.7 million francs. The first contracts awarded by UTO according to the provisions of this directive required an eight-month delay.  </w:t>
        <w:br/>
        <w:t xml:space="preserve">Thus, EDF published a notice of publicity in the Official Journal of the European Communities on February 12, 1994. Interested companies received a qualification examination file (DEA) intended to select companies eligible to compete. Twenty companies returned this document duly completed to EDF's UTO service, which retained five for the container contract and ten for the box contract. The UTO sent a draft contract, accompanied by the specifications of the technical conditions to the selected companies, which were to submit a technical proposal (design of the equipment) and a commercial proposal in separate envelopes. The contracts were awarded under the negotiated procedure, according to the economically most advantageous offer. To select the companies that returned the completed DEA, EDF established a series of criteria, some of which were eliminatory, others quantifiable, and set a minimum score. The technical and commercial offers of the selected companies were analyzed market by market.  </w:t>
        <w:br/>
        <w:t xml:space="preserve">Regarding the box contract, of the ten companies admitted to make proposals, only seven submitted a complete offer. Only the technical offers from the companies SIGED and Safial were considered by EDF as fully satisfactory. However, that of the company Safial was rejected due to the deadline and because its price was 53% higher than the price proposed by SIGED. At this stage of the procedure, EDF, which had initially planned to award the contract for 384 boxes to two suppliers, chose to award the entire contract to SIGED.  </w:t>
        <w:br/>
        <w:t xml:space="preserve">As for the containers, this contract provided for the award of all IP2 and A containers to the lowest bidder offering a technically satisfactory proposal. The companies SIGED and Setri submitted closely priced offers for the entire contract. Setri was less expensive than SIGED for the Type A containers and more expensive for the IP2 containers. Ultimately, SIGED, being the lowest bidder for all products, won the contract.  </w:t>
        <w:br/>
        <w:t xml:space="preserve">The company SNMO had been eliminated at the selection stage of the companies (DEA). According to the evaluation grid provided, it was assigned an eliminatory score and, moreover, obtained a number of points below the threshold set by the buyer.  </w:t>
        <w:br/>
        <w:t xml:space="preserve">3. Other Contracts Awarded by EDF  </w:t>
        <w:br/>
        <w:t>EDF awarded two other contracts in 1996 and 1997 for the design and manufacture of Type A containers, for which the company SNMO was not consulted. The two contracts were not subject to the provisions of the community directive, as the amount of each was below the threshold. Regarding the first contract, of six companies consulted, including SIGED, it was the company AMS Brinex that was declared the successful bidder. As for the second contract, among six companies consulted, SIGED was retained as the lowest bidder.</w:t>
      </w:r>
    </w:p>
    <w:p>
      <w:r>
        <w:rPr>
          <w:b/>
        </w:rPr>
        <w:t>[Pages 4–6]</w:t>
      </w:r>
    </w:p>
    <w:p>
      <w:r>
        <w:t xml:space="preserve">4. Contracts Awarded by Other Applicants  </w:t>
        <w:br/>
        <w:t xml:space="preserve">The company SNMO was declared the successful bidder for two contracts awarded by two companies (Cegelec and Logitest), while it was not selected during consultations conducted by the companies Intercontrôle and Socodéi (a subsidiary of EDF).  </w:t>
        <w:br/>
        <w:t xml:space="preserve">The company Intercontrôle launched a first call for tenders among six companies, including SNMO and SIGED. The company SIGED was declared the successful bidder after the selection of three companies. SNMO was not selected due to insufficient equipment to meet quality requirements. At the end of 1994, for a contract involving ten packages, the company SNMO was not consulted. The company SIGED was declared the successful bidder.  </w:t>
        <w:br/>
        <w:t xml:space="preserve">The company Socodei, a subsidiary of EDF, launched a call for tenders at the beginning of 1992 for the production of 36 containers. Among the three offers retained, that of the company SNMO, although less competitive on part of the contract, was dismissed after a visit to the manufacturing facilities, on the grounds that the company did not provide the necessary technical guarantees. The company specifies that, although linked to EDF, it did not receive any instructions or recommendations from the public establishment regarding which Type A packaging suppliers to consult.  </w:t>
        <w:br/>
        <w:t xml:space="preserve">The company Logistest ordered, as part of calls for tenders issued in 1993, ten ten-foot Type A containers from the company SNMO after consulting five companies, including SIGED.  </w:t>
        <w:br/>
        <w:t xml:space="preserve">As for the company CGA-Cegelec, it also ordered two Type A containers from the company SNMO in 1995 and two others from the company SIGED.  </w:t>
        <w:br/>
        <w:t xml:space="preserve">Based on these findings, a proposal for dismissal was notified to the company SNMO.  </w:t>
        <w:br/>
        <w:t xml:space="preserve">II. - Based on the preceding findings, the Council,  </w:t>
        <w:br/>
        <w:t xml:space="preserve">On the Procedure  </w:t>
        <w:br/>
        <w:t xml:space="preserve">Considering that, in a letter dated January 28, 2000, SNMO informed the Competition Council: "...we would like to inform you that we will not pursue this procedure for the essential reason that, since then, we have significantly developed our activity in the competitive private sector..."; that this statement, due to its ambiguity, cannot be interpreted as a simple withdrawal of its application by the company SNMO; that it is therefore appropriate to examine the proposal for dismissal;  </w:t>
        <w:br/>
        <w:t xml:space="preserve">On Observed Practices  </w:t>
        <w:br/>
        <w:t xml:space="preserve">A. - Regarding EDF's Position in the Relevant Market  </w:t>
        <w:br/>
        <w:t xml:space="preserve">Considering that, given the regulatory requirements, companies wishing to transport tools, materials, or spare parts contaminated by radioactivity following their use in nuclear power plants had to, at the time of the facts, use Type A packaging; that, while these may have various dimensions and characteristics, the companies capable of manufacturing them appear to have been able to offer the different types of Type A packaging interchangeably; that, on the other hand, only certain companies in the boiler-making sector seem capable of manufacturing packaging compatible with the applicable standards in the nuclear sector; that this capability, however, is not sufficient to allow them to instantly offer packaging of a given type compatible with both the regulatory requirements specific to each type of packaging and the specific demands of potential clients, who are few in number and are specialized actors in the nuclear sector; that it follows from this non-substitutability between the products offered by companies in the boiler-making sector, even those specialized in packaging for the nuclear sector, the absence of substitutability on the demand side between Type A packaging and others, and the substitutability between Type A packaging manufactured by the different companies that have the capacity, that a market for Type A packaging can be defined;  </w:t>
        <w:br/>
        <w:t xml:space="preserve">Considering that, since the new regulation was known to users (i.e., after 1985), two operators share the bulk of orders in the market for Type A packaging intended for the transport of tools, materials, and spare parts contaminated by radioactivity in nuclear power plants: the company Framatome, which accounted for 47.9% of purchases in value and 68.1% in number of boxes, and EDF with 35.5% in value and 23% in number of boxes; that these two buyers together represent 91% of purchases in volume and 83.4% in value; that the market, as defined, includes orders placed by Framatome prior to the regulatory change, insofar as they were intended to adapt to it in advance; that the share of purchases made by the company EDF does not, in any case, allow us to conclude that the public establishment holds a dominant buyer position in the market for Type A packaging, especially since, on the supplier side, until 1994, SNMO was the main supplier of Type A boxes, with 63.9% of sales and 67.8% of volumes, while from July 1994, the company SIGED became the main supplier of Type A boxes with 74% of sales in value and 66.1% in volume;  </w:t>
        <w:br/>
        <w:t xml:space="preserve">Considering that it follows from this that the practices attributed to EDF cannot constitute an abuse of a dominant position;  </w:t>
        <w:br/>
        <w:t xml:space="preserve">B. - Regarding the Possible State of Economic Dependence  </w:t>
        <w:br/>
        <w:t xml:space="preserve">Considering that, according to the provisions of 2° of Article L. 420-2 of the Commercial Code, a company is in a state of economic dependence on the supplier (or customer) with which it makes a significant part of its sales (or purchases), as soon as, in the event that it had to give up these sales (or purchases), it would have no equivalent solution to continue its activity;  </w:t>
        <w:br/>
        <w:t xml:space="preserve">Considering that the criteria retained by case law to determine the existence of a state of economic dependence are fourfold: the share of the company in the turnover of the dependent company, the brand's notoriety, the existence or not of alternative solutions, the factors that led to the state of dependence (strategic choice or obligation of the victim of the denounced behavior);  </w:t>
        <w:br/>
        <w:t xml:space="preserve">Considering that it is undisputed that the postponement of the effective date of the regulation requiring the road transport of contaminated materials in Type A packaging and the rejection by EDF UTO of the application of the company SNMO were not such as to jeopardize its existence; that the company was able to benefit from orders from other operators and that part of these were postponed to the years 1994 and 1995; that finally, if the share of packaging significantly decreased in its turnover from 1995, the company was able to redirect its activity towards the manufacture and trade of sandblasting cabins, without it being established that this reorganization incurred costs such that they jeopardized the viability of the company; that it follows from this that the company SNMO is not in a state of economic dependence on EDF;  </w:t>
        <w:br/>
        <w:t xml:space="preserve">C. - Regarding the Constitutive Elements of an Agreement Between EDF and the Company SIGED  </w:t>
        <w:br/>
        <w:t xml:space="preserve">On the Request to Postpone the Effective Date of the Decree of September 15, 1992  </w:t>
        <w:br/>
        <w:t xml:space="preserve">Considering that it is not demonstrated that EDF's request to postpone the effective date of the decree was motivated by the desire to benefit the company SIGED with commercial orders for materials to the new standards; that before June 1994, this company did not have any relations with EDF UTO; that the only element in the investigation report mentions a "contact between EDF and this company" without specifying when this contact took place and what its purpose was; that, although at the beginning of 1993, the company SIGED had indeed been declared the successful bidder for an important contract for Type A containers awarded by Socodei, a subsidiary of EDF, this element is insufficient to conclude the existence of an anti-competitive agreement between EDF and the company SIGED; that, contrary to the claims of the company SNMO, it was not the only company capable of manufacturing Type A packaging compliant with the mentioned rule; that the company SIGED and other companies, competitors of SNMO, also mastered the manufacturing technique of this type of packaging; that thus, the company SIGED had manufactured, in July 1993, large Type A packaging, following an order from the company Socodei, placed on February 21; that it is therefore likely that the technology for boxes and small Type A packaging did not pose particular problems for it; that thus, the claims of the company SNMO that the request to postpone the effective date of the decree of September 15, 1992, was solely intended to allow the company SIGED to adapt its manufacturing of Type A packaging to the new regulation, or to deprive SNMO of an opportunity, are unfounded;  </w:t>
        <w:br/>
        <w:t xml:space="preserve">On the Conduct of the EDF-UTO Contracting Procedure of 1994  </w:t>
        <w:br/>
        <w:t xml:space="preserve">Considering that EDF chose, to procure "custom-made" products, to define the specifications of its needs and to have the products designed and executed by external suppliers; that the company Framatome preferred, on the contrary, to design the products itself and have them executed on-site by its suppliers; that each option falls within the free choice of companies and that it is not for the Council to rule on the relevance of the economic choice made by EDF;  </w:t>
        <w:br/>
        <w:t xml:space="preserve">Considering that no element in the file allows us to assert that the technical clauses developed by EDF were defined in such a way that they could only be respected by one company, the company SIGED;  </w:t>
        <w:br/>
        <w:t xml:space="preserve">Considering that EDF complied with the procedure provided for by European Directive No. 93-38 of June 14, 1993, which specifies that contracting entities may manage a supplier qualification system based on objective rules and criteria in order "to reduce the number of candidates to a level justified by the need for balance between the specific characteristics of the procedure..."; but "the number of candidates retained must, however, take into account the need to ensure sufficient competition"; that the public establishment selected, based on the twenty-one eligibility examination files that had been submitted to it, a certain number of companies (five for the container market, ten for the box market), to which it sent a copy of the specifications of the technical conditions and requested technical and commercial proposals in separate envelopes; that, given the characteristics of the sector concerned, it does not appear unjustified that the public establishment selected, from the 21 files, respectively five and ten companies for each of the markets;  </w:t>
        <w:br/>
        <w:t xml:space="preserve">Considering that it is not demonstrated that EDF applied the selection criteria for its suppliers in a discriminatory manner; that the mere fact that EDF introduced a specific eliminatory criterion, "prolonged commercial litigation with the supplier," for the EDF-UTO calls for tenders of June 1994, cannot alone indicate the public establishment's intention to eliminate the company SNMO from the market; that indeed, the consideration of such a criterion reflects the legitimate concern of any manager to avoid risks in the execution of future contracts; that finally, it is not for the Council to rule on the nature of this litigation to assess the relevance of the application that may have been made of the specified criterion;  </w:t>
        <w:br/>
        <w:t xml:space="preserve">Considering, likewise, that it has not been established that EDF eliminated SNMO through a discriminatory application of the technical criteria; that, first of all, the investigation does not seriously challenge the evaluations of the different suppliers; that the rejection of the application of the company SNMO is justified; that moreover, even assuming that the company SNMO was disadvantaged compared to its competitors, no element allows us to demonstrate that these practices fall within the framework of an agreement between EDF and the company SIGED, aimed at excluding the company SNMO, nor even to establish that only the company SIGED could benefit from the disputed practice;  </w:t>
        <w:br/>
        <w:t xml:space="preserve">Considering that, if the EDF Markets Commission, established by Decree No. 48-1442 of September 18, 1948, to issue opinions on contracts and amendments made by EDF, was not consulted on the market in question, this finding is not sufficient to demonstrate the existence of an anti-competitive practice, especially since the elements collected do not allow us to know whether, as a rule, all contracts of this importance are examined by the aforementioned commission; that ultimately, neither the existence of the alleged agreement nor the reality of the practices it would have given rise to are established;  </w:t>
        <w:br/>
        <w:t xml:space="preserve">D. - On the Possible Existence of a Favoritism Offense  </w:t>
        <w:br/>
        <w:t xml:space="preserve">Considering that the practices likely to fall under the provisions of Laws No. 91-531 of January 3, 1991, and Article 49-III of Law No. 93-112 of January 29, 1993, do not fall within the jurisdiction of the Competition Council;  </w:t>
        <w:br/>
        <w:t xml:space="preserve">Considering that it follows from all of the above that it is appropriate to apply the provisions of Article L. 464-6 of the aforementioned code and to decide that there is no need to pursue the procedure,  </w:t>
        <w:br/>
        <w:t xml:space="preserve">Decides  </w:t>
        <w:br/>
        <w:t xml:space="preserve">Single Article: There is no need to pursue the procedure.  </w:t>
        <w:br/>
        <w:t xml:space="preserve">Deliberated, on the oral report of Ms. Guillot, by Ms. Hagelsteen, President, Ms. Pasturel, Vice-President, Mr. Cortesse, Vice-President.  </w:t>
        <w:br/>
        <w:t xml:space="preserve">The Secretary of the Session,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