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https://www.autoritedelaconcurrence.fr/fr/decision/relative-la-saisine-des-groupements-dagents-de-voyage-afat-voyage-tourcom-et-selectour</w:t>
      </w:r>
    </w:p>
    <w:p>
      <w:r>
        <w:t>Pages translated : 3</w:t>
      </w:r>
    </w:p>
    <w:p/>
    <w:p>
      <w:r>
        <w:rPr>
          <w:b/>
        </w:rPr>
        <w:t>[Pages 1–3]</w:t>
      </w:r>
    </w:p>
    <w:p>
      <w:r>
        <w:t>COMPETITION COUNCIL</w:t>
        <w:br/>
        <w:t>Decision No. 00-D-30 of June 14, 2000</w:t>
        <w:br/>
        <w:t>regarding the referral from the travel agent associations Afat voyages,</w:t>
        <w:br/>
        <w:t>Tourcom, and Selectour</w:t>
        <w:br/>
        <w:t>The Competition Council (permanent commission),</w:t>
        <w:br/>
        <w:t>Having regard to the letter registered on March 8, 2000, under numbers F 1217 and M 258, by which the travel agent associations Afat voyages, Tourcom, and Selectour referred to the Competition Council practices implemented by the airline Lufthansa, which they consider anti-competitive and requested the issuance of precautionary measures;</w:t>
        <w:br/>
        <w:t>Having regard to Ordinance No. 86-1243 of December 1, 1986, as amended, relating to price freedom and competition and Decree No. 86-1309 of December 29, 1986, as amended, taken for its application;</w:t>
        <w:br/>
        <w:t>Having regard to the Treaty of March 25, 1957, as amended, establishing the European Community, and in particular Article 82;</w:t>
        <w:br/>
        <w:t>Having regard to the other documents in the file;</w:t>
        <w:br/>
        <w:t>The rapporteur, the general rapporteur, the Government commissioner, and the representatives of the referring travel agencies heard during the session of May 17, 2000;</w:t>
        <w:br/>
        <w:t>After deliberating in the absence of the rapporteur and the general rapporteur;</w:t>
        <w:br/>
        <w:t>Considering that the referring parties accuse the airline Lufthansa of having abused its dominant position in the market for air travel agency services between France and Germany by reducing the commission rate it pays to travel agencies for the sale and issuance of transport tickets for this destination from 9% to 7%; that this practice was made possible by the decision of November 15, 1996, of the European Commission, which found that the recommendation by the International Air Transport Association (IATA) in the context of fare conferences for a commission rate of 9% for its accredited agents on the sale of international air tickets "was likely to affect trade between Member States within the meaning of Article 85 (81) of the Treaty"; that following this decision, indeed, IATA withdrew from its resolutions the recommendation concerning the remuneration rate for accredited agents and that Lufthansa took advantage of this to reduce the remuneration of travel agencies to 7%, effective April 1, 1999;</w:t>
        <w:br/>
        <w:t>Considering that the travel agent associations Afat voyages, Tourcom, and Selectour request the Council, as a precautionary measure, to suspend the decisions lowering their commission rate;</w:t>
        <w:br/>
        <w:t>Considering that under the terms of Article 19 of Ordinance No. 86-1243 of December 1, 1986: "The Competition Council may declare, by a reasoned decision, the referral inadmissible if it considers that the facts invoked do not fall within its jurisdiction or are not supported by sufficiently convincing evidence";</w:t>
        <w:br/>
        <w:t>Considering that the referral to the Competition Council is based on the provisions of Article 86 (82) of the Treaty of Rome; that nothing in this referral suggests that the act of the airline Lufthansa reducing the remuneration of French agencies from 9% to 7% affects trade between the Member States of the European Union;</w:t>
        <w:br/>
        <w:t>But considering that the Council, seized in rem, can examine the facts in light of the Ordinance of December 1, 1986 and particularly its Article 8;</w:t>
        <w:br/>
        <w:t>Considering that the referring parties do not provide any evidence supporting their referral that the airline Lufthansa would be in a dominant position in the market for air transport between France and Germany, assuming such a market could be delineated; that they do not even provide the traffic statistics between France and Germany, which they necessarily possess; that, during the session, they argued that the dominant position concerned certain time slots, without providing further details; that, on the contrary, in a letter dated December 26, 1998, Lufthansa indicated that it was due to the decrease in the commission of the French national airline on January 1, 1999, that it was "forced to react" in order to "continue to play an active role in France," which suggests that it does not, in any case, have the ability to disregard competition in this market; that even assuming that the holding of a dominant position is established, it would not, in any case, be prohibited in itself, only the abuse of dominance being forbidden; that no convincing evidence supports the allegation that the act of the company lowering the commission rate for travel agencies from 9% to 7% has the object or effect of distorting competition in the market where the company would be in a dominant position; that, concerning the related market of services provided by travel agencies to airlines, the existence of which was recognized by the Commission in its decision Virgin v. British Airways of July 14, 1999, and on which the practice in question was noted, it is not alleged in the referral that the airline Lufthansa would occupy a dominant buyer position, nor that travel agencies would have been subject to discriminatory treatment by this company, nor that there would exist agencies whose turnover dedicated to travel between France and Germany would represent such a share of their activity that their situation could be affected to the point of disrupting the functioning of the market;</w:t>
        <w:br/>
        <w:t>Considering that it follows from the above that the referral does not contain any sufficiently convincing evidence to support the allegation of the existence of anti-competitive practices within the meaning of Article 8 of the Ordinance; that it is therefore appropriate to declare the referral inadmissible pursuant to Article 19 of the Ordinance of December 1, 1986 and to reject, consequently, the request for precautionary measures,</w:t>
      </w:r>
    </w:p>
    <w:p>
      <w:r>
        <w:t>Decides:</w:t>
        <w:br/>
        <w:t>Article 1: The referral registered under No. F 1217 is declared inadmissible.</w:t>
        <w:br/>
        <w:t>Article 2: The request for precautionary measures registered under number M 258 is rejected.</w:t>
        <w:br/>
        <w:t>Deliberated, on the report of Ms. Servella-Huertas, by Ms. Hagelsteen, president, Ms. Pasturel and Mr. Cortesse, vice-presidents.</w:t>
        <w:br/>
        <w:t>The session secretary, The president,</w:t>
        <w:br/>
        <w:t>Sylvie Grando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