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https://www.autoritedelaconcurrence.fr/fr/decision/relative-la-saisine-des-societes-lamy-moto-et-moto-ouest-lencontre-des-societes-yamaha</w:t>
      </w:r>
    </w:p>
    <w:p>
      <w:r>
        <w:t>Pages translated : 15</w:t>
      </w:r>
    </w:p>
    <w:p/>
    <w:p>
      <w:r>
        <w:rPr>
          <w:b/>
        </w:rPr>
        <w:t>[Pages 1–3]</w:t>
      </w:r>
    </w:p>
    <w:p>
      <w:r>
        <w:t xml:space="preserve">RÉPUBLIQUE FRANÇAISE  </w:t>
        <w:br/>
        <w:t xml:space="preserve">Decision No. 06-D-26 of September 15, 2006  </w:t>
        <w:br/>
        <w:t xml:space="preserve">regarding the referral by the companies Lamy Moto and Moto Ouest against the companies Yamaha Motor France and MBK  </w:t>
        <w:br/>
        <w:t xml:space="preserve">The Competition Council (permanent commission),  </w:t>
        <w:br/>
        <w:t xml:space="preserve">Having regard to the letter registered on July 13, 2000, under number F 1250 by which the companies Lamy Moto and Moto Ouest referred the Competition Council regarding practices implemented by the companies Yamaha Motor France and MBK;  </w:t>
        <w:br/>
        <w:t xml:space="preserve">Having regard to Articles 81 and 82 of the Treaty establishing the European Community;  </w:t>
        <w:br/>
        <w:t xml:space="preserve">Having regard to Book IV of the Commercial Code relating to the freedom of prices and competition and Decree No. 2002-689 of April 30, 2002, as amended, setting its conditions of application;  </w:t>
        <w:br/>
        <w:t xml:space="preserve">Having regard to the observations presented by the government commissioner;  </w:t>
        <w:br/>
        <w:t xml:space="preserve">Having regard to the other documents in the file;  </w:t>
        <w:br/>
        <w:t xml:space="preserve">The reporting judge, the deputy reporting judge, the government commissioner, and the representative of the company Moto Ouest heard during the session of July 5, 2006; the company Lamy Moto having been duly summoned;  </w:t>
        <w:br/>
        <w:t>Adopts the following decision:</w:t>
      </w:r>
    </w:p>
    <w:p>
      <w:r>
        <w:t xml:space="preserve">I. Findings  </w:t>
        <w:br/>
        <w:t xml:space="preserve">A. THE REFERRAL  </w:t>
        <w:br/>
        <w:t xml:space="preserve">1. By letter registered on July 13, 2000, under number F 1250, the companies Lamy Moto and Moto Ouest referred the Competition Council regarding practices that they considered contrary to Article 7 of Ordinance No. 86-1243 of December 1, 1986, relating to the freedom of prices and competition, which became Article L. 420-1 of the Commercial Code, implemented by:  </w:t>
        <w:br/>
        <w:t xml:space="preserve">• the company Yamaha Motor France, which imports Yamaha two-wheeled products into France;  </w:t>
        <w:br/>
        <w:t xml:space="preserve">• the company MBK, resulting from the acquisition of Motobécane by Yamaha in 1984, which produces small-displacement two-wheelers.  </w:t>
        <w:br/>
        <w:t xml:space="preserve">1. THE REFERRING COMPANIES  </w:t>
        <w:br/>
        <w:t xml:space="preserve">a) Lamy Moto  </w:t>
        <w:br/>
        <w:t xml:space="preserve">2. The company Lamy Moto succeeded the activities carried out by Mr. Michel X… who had been distributing the products of the company Motobécane, now MBK, in Chaumont (Haute Marne) since 1930. Dealership contracts had been signed with it since 1983, the last one dating from December 4, 1996. At the same time, from 1983, Mr. Michel X…, then the company Lamy Moto, were dealers of the Yamaha brand in the same sector, under successive contracts, the last of which also dates from December 4, 1996.  </w:t>
        <w:br/>
        <w:t xml:space="preserve">3. Yamaha Motor France terminated the dealership contract with Lamy Moto on July 1, 1997, and MBK did the same on December 31, 1997.  </w:t>
        <w:br/>
        <w:t xml:space="preserve">4. At the time of the referral to the Competition Council, Lamy Moto was in amicable liquidation and represented by its liquidator Mr. Lionel X... . It was placed in judicial liquidation on May 5, 2003, and it has not been removed from the Trade and Companies Register to this day.  </w:t>
        <w:br/>
        <w:t xml:space="preserve">b) Moto Ouest  </w:t>
        <w:br/>
        <w:t>5. After acquiring the business assets of an MBK distributor in 1992, the company Moto Ouest developed its activity, carried out predominantly with MBK products. An exclusive dealership contract for a duration of one year covering the cantons of Loire-Atlantique was signed in 1992 with MBK. From 1993 to 1997, five identical contracts were concluded. On January 20, 1998, a contract of indefinite duration was signed.</w:t>
      </w:r>
    </w:p>
    <w:p>
      <w:r>
        <w:t xml:space="preserve">6. During 1998, the relations between MBK and Moto Ouest deteriorated, and MBK terminated the dealership contract on June 11, 1998, for breach of the brand exclusivity obligation that was incumbent upon Moto Ouest.  </w:t>
        <w:br/>
        <w:t xml:space="preserve">7. Subsequent to the referral to the Competition Council, Moto Ouest was placed in judicial liquidation on July 25, 2001, and it has not been removed from the Trade and Companies Register to this day.  </w:t>
        <w:br/>
        <w:t xml:space="preserve">2. THE PRACTICES DENOUNCED  </w:t>
        <w:br/>
        <w:t xml:space="preserve">8. The complainants argue that there is a collusion between Yamaha Motor France and MBK. Despite their belonging to the same group, these two companies would be sufficiently autonomous to be implicated for anti-competitive concertation prohibited by Article 7 of the Ordinance of December 1, 1986, which became Article L. 420-1 of the Commercial Code. The alleged collusion would aim to limit MBK's market share to 30% and would affect the remuneration of MBK dealers.  </w:t>
        <w:br/>
        <w:t xml:space="preserve">9. The denounced practice would be illustrated by three elements: the termination of commercial relations with the complainants, notably the termination of the distribution contracts of Lamy Moto by Yamaha Motor France and by MBK, which would result from a collusion between these two companies, the more favorable commercial conditions granted to Yamaha dealers, and finally, the brand policy of the group which would disadvantage MBK dealers by making it practically impossible for them to comply with their contractual obligations.  </w:t>
        <w:br/>
        <w:t xml:space="preserve">10. The referral also claims that the distribution contract of MBK is anti-competitive as it does not comply with the provisions of Regulation (EEC) No. 1983/83 of the Commission, of June 22, 1983, concerning the application of Article 85, paragraph 3, of the EC Treaty [now Article 81, paragraph 3, EC] to categories of exclusive distribution agreements (OJEC L. 173, p. 1) insofar as this contract may contain a territorial exclusivity clause (Article 2) accompanied by a brand exclusivity clause (Article 4).  </w:t>
        <w:br/>
        <w:t xml:space="preserve">3. THE CONTEXT OF THE REFERRAL  </w:t>
        <w:br/>
        <w:t xml:space="preserve">11. Prior to their referral to the Competition Council, Moto Ouest and Lamy Moto initiated legal actions against, respectively, MBK and, jointly, MBK and Yamaha Motor France.  </w:t>
        <w:br/>
        <w:t xml:space="preserve">12. The claims of Moto Ouest, which denounced the abusive termination of its contract by MBK, were rejected by the Commercial Court of Saint Quentin by a judgment of July 9, 1999. The court ruled that the termination of the contract was attributable to Moto Ouest, which had violated the non-competition clause included therein. This judgment was confirmed by a ruling of the Amiens Court of Appeal on March 30, 2001, as well as by a ruling of the Court of Cassation on January 21, 2003.  </w:t>
        <w:br/>
        <w:t>13. Based on the Ordinance of December 1, 1986, Lamy Moto had, for its part, sued MBK and Yamaha Motor France, accusing them of anti-competitive collusion practices and of an abusive termination of commercial relations. By a judgment of November 15, 2001, the Commercial Court of Pontoise found that MBK and Yamaha Motor France had not violated the provisions of Article 7 of the Ordinance of December 1, 1986 to the detriment of Lamy Moto. The court considered that MBK and Yamaha Motor France had, however, terminated the</w:t>
      </w:r>
    </w:p>
    <w:p>
      <w:r>
        <w:rPr>
          <w:b/>
        </w:rPr>
        <w:t>[Pages 4–6]</w:t>
      </w:r>
    </w:p>
    <w:p>
      <w:r>
        <w:t xml:space="preserve">November 15, 2001, the Commercial Court of Pontoise held that MBK and Yamaha Motor France had not violated the provisions of Article 7 of the Ordinance of December 1, 1986 to the detriment of Lamy Moto. The court found that MBK and Yamaha Motor France had, however, terminated the dealership contracts in an abusive manner. In a judgment dated February 20, 2003, the Versailles Court of Appeal confirmed this ruling regarding the alleged collusion. However, it reformed the ruling concerning the abusive termination of commercial relations. The Court of Cassation subsequently dismissed the appeal of the judicial liquidator of Lamy Moto in a judgment dated January 31, 2006.  </w:t>
        <w:br/>
        <w:t xml:space="preserve">14. Furthermore, an administrative investigation report on the MBK distribution network, conducted by the interregional investigation brigade of Bordeaux of the Directorate General for Competition, Consumer Affairs and Fraud Control (hereinafter, the "investigation report") was submitted to the Competition Council. This report had been requested by the general rapporteur by letter dated January 14, 2003, based on Article 18 of Decree No. 2002-689.  </w:t>
        <w:br/>
        <w:t xml:space="preserve">B. YAMAHA AND MBK, TWO COMPANIES BELONGING TO THE SAME GROUP  </w:t>
        <w:br/>
        <w:t xml:space="preserve">15. The companies Yamaha Motor France and MBK are both part of the Yamaha group. Between 1997 and 1998, MBK Industrie was 55.77% owned by Yamaha Motor Europe NV, whose registered office is in the Netherlands, 43.09% by Yamaha Motor Co Ltd, the parent company of the Yamaha group which holds 100% of Yamaha Motor Europe, and finally 1.13% by Picardie Investissement. In 1999, Yamaha Motor Europe NV purchased the shares of MBK held by Picardie Investissement, so that it held 56.9% of the capital. During this period -1997-2000-, Yamaha France was 99.99% owned by Yamaha Motor Europe, and MBK held one share of the capital, or 0.0004%.  </w:t>
        <w:br/>
        <w:t xml:space="preserve">16. In 1997 and 1998, the companies MBK and Yamaha Motor France had two common directors (i.e., 1/5 of the directors of MBK and 1/3 of the directors of Yamaha). These were the president and the vice-president of Yamaha Motor Europe. In 1999 and 2000, the two companies had one common director, the president of Yamaha Motor Europe. The two subsidiaries had no common legal structure during this period.  </w:t>
        <w:br/>
        <w:t xml:space="preserve">17. Although the registered office of MBK is in Saint Quentin, its commercial services have been located in the premises of Yamaha Motor France's headquarters in Saint Ouen l'Aumone since 1997.  </w:t>
        <w:br/>
        <w:t xml:space="preserve">18. Developing two distinct brands, these two companies also have distinct distribution networks. The network of Yamaha Motor France consisted, between 1997 and 2000, of approximately 270 dealers, of which 75% were single-brand and 25% were multi-brand. The distribution of MBK products is carried out through a network of dealers, some of whom operate a secondary network to ensure proximity of sales points for consumers. Composed of 633 dealers in 1997, including 394 single-brand and 239 multi-brand, the MBK network had only 573 sales points in 2000, including 366 single-brand and 207 multi-brand.  </w:t>
        <w:br/>
        <w:t xml:space="preserve">19. The commercial policies of Yamaha and MBK in France are decided by Yamaha Motor Europe. Yamaha Motor France indicated in this regard, in response in writing to a request for information from the rapporteur:  </w:t>
        <w:br/>
        <w:t xml:space="preserve">"Yamaha Motor Europe, the parent company of Yamaha Motor France and MBK, sets the commercial policy applicable in each of the two companies, with the latter responsible for implementing them. The 'two brands' strategy determined by Yamaha Motor Europe aims to capture a broader market through differentiation of product positioning 'image, colors, media plan' conducted through two networks and two brands:  </w:t>
        <w:br/>
        <w:t xml:space="preserve">- a 'youth' positioning through MBK products;  </w:t>
        <w:br/>
        <w:t xml:space="preserve">- an 'entry-level' positioning through the Yamaha two-wheel network.  </w:t>
        <w:br/>
        <w:t xml:space="preserve">Yamaha Motor France and MBK are therefore two brands that coexist within the same group with the backdrop of Yamaha Motor Europe, which dictates the group strategy aimed at positioning the two brands in relation to each other. This strategy is a strategy decided and implemented within a single economic entity; Yamaha Motor France and MBK, subsidiary companies, apply the instructions given to them by their parent company Yamaha Motor Europe."  </w:t>
        <w:br/>
        <w:t xml:space="preserve">20. MBK also reported the existence of the group strategy unilaterally decided by Yamaha Motor Europe, which aims to make Yamaha and MBK coexist by positioning these two brands in relation to each other. MBK responded in writing as follows to a request for information from the rapporteur:  </w:t>
        <w:br/>
        <w:t xml:space="preserve">"There is a group policy of Yamaha Motor that aims to make Yamaha and MBK coexist by positioning these two brands in relation to each other. This 'intra-group' strategy unilaterally decided by Yamaha Motor Europe is therefore not constitutive of collusion within the meaning of Article L. 420-1 of the Commercial Code and Article 81, paragraph 1, of the Treaty, but responds to a need to better organize the distribution of its products."  </w:t>
        <w:br/>
        <w:t xml:space="preserve">21. According to the group's explanations, together with Yamaha Motor Ltd, Yamaha Motor Europe decides on the launch of new products in Europe and in France after market studies and the completion of research, development, and manufacturing phases. MBK specifies that the decision to launch new products in Europe was partly made on the proposal of its marketing and research and development departments. Regarding pricing, Yamaha Motor Europe determines the variables leading to the establishment of the pricing policy: it indeed determines the brand strategy by positioning it in relation to MBK, sets the budget for Yamaha and the margin, with the price of the models resulting from this.  </w:t>
        <w:br/>
        <w:t xml:space="preserve">22. This group policy aimed at developing the two brands would be known to consumers. The investigation report specifies: "In the mind of the consumer who has conducted a minimal reading of the specialized press, the two brands are inseparable even if identical products are marketed under different names, such as, for example, always cited by the magazine l'Officiel du Cycle et de la Moto, the scooters named Ovetto at MBK and Neo's at Yamaha."  </w:t>
        <w:br/>
        <w:t xml:space="preserve">C. THE MARKETS CONCERNED  </w:t>
        <w:br/>
        <w:t xml:space="preserve">23. The referral does not specify on which markets the denounced behaviors occur. However, according to the decisions of the Council No. 91-D-31 of June 18, 1991, and No. 03-D-42 of August 18, 2003, the latter having been confirmed by the Paris Court of Appeal in a judgment dated May 4, 2004, it is necessary to distinguish in this matter, before July 1, 2004, the date when small displacement mopeds began to be registered, the market for registered motorized two-wheelers (power over 50 cm3) from the market for unregistered motorized two-wheelers (power up to 50 cm3). It is established that the geographical dimension of these markets is at least that of the French territory.  </w:t>
        <w:br/>
        <w:t xml:space="preserve">24. Each of these two markets includes several different types of products. Nevertheless, the Paris Court of Appeal ruled, in the judgment of May 4, 2004, that it was not appropriate to define a market by product type.  </w:t>
        <w:br/>
        <w:t xml:space="preserve">"But considering that the market is defined as the theoretical place where the supply and demand of products or services meet, which are considered by buyers or users as substitutable for each other, but not substitutable for other goods or services offered; that in view of the elements of the file, notably the nature and specific characteristics of the vehicles in question, differences observed regarding the manufacturers and distributors concerned by the marketing of these vehicles, the Competition Council could conclude that, independently of the segmentations they may undergo, there are two distinct main markets, those of registered two-wheel vehicles and unregistered vehicles."  </w:t>
        <w:br/>
        <w:t xml:space="preserve">25. The market for mopeds with a power not exceeding 50 cm3 consists of three types of models:  </w:t>
        <w:br/>
        <w:t xml:space="preserve">• traditional mopeds,  </w:t>
        <w:br/>
        <w:t xml:space="preserve">• gear mopeds,  </w:t>
        <w:br/>
        <w:t xml:space="preserve">• scooters.  </w:t>
        <w:br/>
        <w:t xml:space="preserve">26. The market for motorcycles with a power exceeding 50 cm3 consists of two segments:  </w:t>
        <w:br/>
        <w:t xml:space="preserve">• scooters as well as motorcycles with a displacement up to 125 cm3, and  </w:t>
        <w:br/>
        <w:t xml:space="preserve">• motorcycles with a displacement exceeding 125 cm3.  </w:t>
        <w:br/>
        <w:t xml:space="preserve">27. The registration of mopeds not exceeding 50 cm3 came into effect on July 1, 2004, and the registration obligation initially concerns new vehicles and then used vehicles at the time of their first transfer. It will be extended to all motorcycles no later than June 30, 2009.  </w:t>
        <w:br/>
        <w:t xml:space="preserve">28. However, at the time of the facts referred to in the complaint (1997-2000), the registration of vehicles up to 50 cm3 did not yet exist. Moreover, it is unlikely that the registration obligation for these vehicles will change the contours of the markets previously identified, which result more from the characteristics of the products than from the existence or non-existence of administrative formalities such as registration. In the following of this decision, the terms "unregistered" to designate two-wheelers up to 50 cm3 and "registered" to designate those over 50 cm3 will be retained for convenience.  </w:t>
        <w:br/>
        <w:t xml:space="preserve">D. THE POSITION OF YAMAHA AND MBK IN THE MARKETS CONCERNED  </w:t>
        <w:br/>
        <w:t>29. Yamaha holds a stronger position in the market for registered two-wheelers than in that for unregistered ones. Conversely, in the registered market, MBK is very minimally present: it only sells scooters over 50 cm3 and has not sold motorcycles of 125 cm3 or more for a long time.</w:t>
      </w:r>
    </w:p>
    <w:p>
      <w:r>
        <w:rPr>
          <w:b/>
        </w:rPr>
        <w:t>[Pages 7–9]</w:t>
      </w:r>
    </w:p>
    <w:p>
      <w:r>
        <w:t xml:space="preserve">30. Information provided by manufacturers during the investigation and presented in the following table shows that in the market for non-registered vehicles, the MBK/Yamaha group held nearly 40% of the market share between 1998 and 2000.  </w:t>
        <w:br/>
        <w:t xml:space="preserve">Market for non-registered vehicles: positions of MBK and Yamaha  </w:t>
        <w:br/>
        <w:t xml:space="preserve">1997 1998 1999 2000  </w:t>
        <w:br/>
        <w:t xml:space="preserve">Yamaha MBK Yamaha MBK Yamaha MBK Yamaha MBK  </w:t>
        <w:br/>
        <w:t xml:space="preserve">7.15% n.c. 7.77% 32.9% 8.70% 32.9% 8.77% 31.8%  </w:t>
        <w:br/>
        <w:t xml:space="preserve">31. In this market, the MBK/Yamaha group is, however, subject to significant competition from other manufacturers: Peugeot, Derbi, Piaggio, Aprilia, and Suzuki. Notably, for mopeds, Peugeot had a superior position in 2000 compared to MBK (40.30% against 22.94% for MBK, with Yamaha being almost absent, according to the investigation report). For scooters, the two brands of the group combined lead with nearly 44% of sales in 2000 (according to the investigation report), with Peugeot being second at 24.4%.  </w:t>
        <w:br/>
        <w:t xml:space="preserve">32. In the registered market, the share of the MBK/Yamaha group cannot be calculated with certainty, as MBK did not provide its market share for the entire market, but only for the segment in which it is present, that of scooters with an engine capacity between 50 and 125 cm3 (6% in 1997 of scooters over 50 cm3, 9% in 1998, 14% in 1999, and 12% in 2000). It can only be stated that the Yamaha/MBK group holds more than 27% of the registered market.  </w:t>
        <w:br/>
        <w:t xml:space="preserve">Market for registered vehicles: positions of MBK and Yamaha  </w:t>
        <w:br/>
        <w:t xml:space="preserve">1997 1998 1999 2000  </w:t>
        <w:br/>
        <w:t xml:space="preserve">Yamaha MBK Yamaha MBK Yamaha MBK Yamaha MBK  </w:t>
        <w:br/>
        <w:t xml:space="preserve">29% n.c. 27.27% n.c. 27.37% n.c. 27.11% n.c.  </w:t>
        <w:br/>
        <w:t xml:space="preserve">II. Discussion  </w:t>
        <w:br/>
        <w:t xml:space="preserve">A. ON THE ADMISSIBILITY OF THE REFERRAL  </w:t>
        <w:br/>
        <w:t xml:space="preserve">33. At the date of the referral, registered on July 13, 2000, Lamy Moto in amicable liquidation was validly represented by its liquidator, Mr. X…, and Moto Ouest was operational. Contrary to the claims of the companies involved, the Council was not deprived of this admissible referral due to the subsequent declaration of judicial liquidation, which did not lead to the disappearance of the complainant companies, as they were not removed from the Trade and Companies Register.  </w:t>
        <w:br/>
        <w:t xml:space="preserve">34. In any case, as the Council recalled, notably in decision No. 06-D-18 of June 28, 2006, "the cases brought to [its] attention (...) fall within an objective litigation aimed at protecting the economic public order, and are therefore not constrained by the requests of the parties," and thus, even if the company that regularly referred to the Council has disappeared, this disappearance does not have the effect of depriving it of the case brought to its attention.  </w:t>
        <w:br/>
        <w:t xml:space="preserve">B. ON THE ALLEGED COLLUSIONS  </w:t>
        <w:br/>
        <w:t xml:space="preserve">1. THE ALLEGED ANTI-COMPETITIVE COLLUSION BETWEEN MBK AND YAMAHA MOTOR FRANCE  </w:t>
        <w:br/>
        <w:t xml:space="preserve">35. In decision No. 99-D-18 of March 2, 1999, regarding practices identified in the distribution of products from the company Laboratoires 3 M, the Competition Council stated:  </w:t>
        <w:br/>
        <w:t xml:space="preserve">“(...) considering, firstly, that the 3 M companies established in Europe are controlled by Minnesota Mining &amp; Manufacturing Company, which holds, directly or indirectly, nearly 100% of their capital; that their activity is coordinated at the European level by 3 M Europe; that, as stated by the European Court of Justice in its judgment Viho Europe BV against the Commission of the European Communities of October 24, 1996, in the absence of the concerted action of economically independent wills, the relationships within an economic unit cannot constitute an agreement or a concerted practice between companies that restrict competition within the meaning of Article 85, paragraph 1, of the Treaty; that thus, when a parent company and its subsidiaries form an economic entity within which the subsidiaries, although having a distinct legal personality, do not enjoy real autonomy in determining their market strategy, but apply the instructions of the parent company, the fact that the policy implemented by the latter, which mainly consists of allocating different national markets among its subsidiaries, may produce effects outside the group’s sphere, likely to affect the competitive position of third parties, does not suffice to render Article 85, paragraph 1, of the Treaty applicable; that, consequently, the 3 M group companies cannot be reproached for harmonizing their prices at the European level so that purchases by resellers are made from the local subsidiary and for geographically allocating markets as long as these are agreements within the 3 M group which constitutes an economic unit;”  </w:t>
        <w:br/>
        <w:t xml:space="preserve">36. Such reasoning naturally also applies in light of Article L. 420-1 of the Commercial Code.  </w:t>
        <w:br/>
        <w:t xml:space="preserve">37. For the purposes of applying competition rules on collusions, the lack of behavioral autonomy in the market of subsidiaries vis-à-vis their parent company generally takes precedence over the formal separation between these companies resulting from their distinct legal personalities, whether in terms of community law or national competition law.  </w:t>
        <w:br/>
        <w:t xml:space="preserve">38. However, it should be clarified that this assessment of relationships within a group is without prejudice to the analysis regarding the rules on collusions of the implementation of the group’s policy in the context of relationships with third parties, notably in the context of contractual relationships with distributors (see for example the Council decision No. 06-D-22 of July 21, 2006, regarding practices implemented by NGK Spark Plugs France in the market for two-wheeler spark plugs). If competition restrictions do not fall under the prohibition of collusions as long as they do not manifest an agreement of wills between independent operators, they may, however, fall under it when such is the case.  </w:t>
        <w:br/>
        <w:t xml:space="preserve">39. In this case, the degree of autonomy available to Yamaha Motor France and MBK at the time of the alleged facts, namely between 1997 and 2000, is therefore crucial to assess the alleged collusion between these two companies of the Yamaha Motor Europe group, and the issue of relations with distributors will be addressed subsequently.  </w:t>
        <w:br/>
        <w:t xml:space="preserve">40. However, in view of the elements set out in points 15 to 22 of this decision, which have not been seriously challenged by the complainants, Yamaha Motor Europe and its subsidiaries Yamaha Motor France and MBK form an economic unit within which the subsidiaries do not enjoy autonomy in determining their course of action but apply instructions addressed to them by the parent company that controls them. The fact that the two brands, Yamaha and MBK, are distributed in distinct networks and that the marketed products are competing does not prevent the existence of a group policy regarding the two brands, aimed at maximizing the combined market shares, given the different positioning of each of them.  </w:t>
        <w:br/>
        <w:t xml:space="preserve">41. In the hearing, Moto Ouest argued that the two companies in question provided little information to the public about the existence of this group coordination and that consumers could be misled about the reality of competition between the brands, as could the contracting authority in the case of a public tender to which two companies from the same group would respond, apparently independently, while concealing their capital, commercial, and strategic ties.  </w:t>
        <w:br/>
        <w:t xml:space="preserve">42. However, on the one hand, as indicated in point 22 of this decision, for the consumer who has conducted a minimal reading of the specialized press, the two brands would be inseparable even if their products, identical in some cases, are marketed under different names.  </w:t>
        <w:br/>
        <w:t>43. On the other hand, even if this assertion in the investigation report were incorrect, during public tender procedures, the price formation mechanism sought and the rules for the choice of the public buyer inherently assume, regarding the specific service requested, the independence of the bidders who submit distinct offers and the uncertainty regarding the offers that will be submitted. In this context, unless two companies from the same group officially form a consortium vis-à-vis the contracting authority or announce subcontracting between them, the submission of distinct offers by such companies requires total independence in the formulation of their offers; otherwise, the price formation mechanism as well as the application of these choice rules are necessarily disrupted, whether or not the contracting authority has been informed of the lack of independence of the offers in question. There is then coordination of offers that are intended to be formulated independently specifically to respond to the particular demand previously expressed. Competition is distorted. In contrast, in the case of a standard market for a consumer good, the coordination of distinct offers from companies belonging to the same group and the potential lack of knowledge by the buyer of this coordination normally do not disrupt the price formation mechanism and the free choice of the buyer among offers existing prior to the manifestation of their own need. Prices and choice then simply result from the degree of competition in the market, the ability of the offered products to satisfy buyers, and thus from the day-to-day confrontation of supply and demand. In this framework, the consumer arbitrates by comparing substitutable products, and if they do not choose the cheapest, it is because they value other characteristics, such as brand image. A group will thus conduct a policy of two competing brands.</w:t>
      </w:r>
    </w:p>
    <w:p>
      <w:r>
        <w:rPr>
          <w:b/>
        </w:rPr>
        <w:t>[Pages 10–12]</w:t>
      </w:r>
    </w:p>
    <w:p>
      <w:r>
        <w:t xml:space="preserve">as examined, a commis une erreur de droit ;  </w:t>
        <w:br/>
        <w:t xml:space="preserve">« Mais attendu que, d'une part, la cour d'appel a relevé que le contrat de concession en cause prévoyait une exclusivité de marque et que, d'autre part, la clause de non-concurrence ne s'appliquait qu'aux produits susceptibles de concurrencer ceux de MBK ; qu'ainsi, la cour d'appel a pu déduire que le contrat de concession ne contrevenait pas aux dispositions de l'article 2, paragraphe 2, du règlement n° 1983/83 ;  </w:t>
        <w:br/>
        <w:t xml:space="preserve">54. En conséquence, les clauses d'exclusivité de marque contenues dans les contrats de concession de MBK ne constituent pas des restrictions de concurrence prohibées par le règlement n° 1983/83, dès lors qu'elles sont compatibles avec les exigences de ce règlement.  </w:t>
        <w:br/>
        <w:t xml:space="preserve">55. Il convient donc de conclure que les contrats de concession de MBK, en ce qui concerne les clauses d'exclusivité de marque, ne sont pas contraires aux dispositions de l'article L. 420-1 du code de commerce ni à celles de l'article 81 CE.  </w:t>
        <w:br/>
        <w:t xml:space="preserve">56. Par conséquent, l'allégation d'entente anticoncurrentielle entre MBK et ses distributeurs, fondée sur les clauses d'exclusivité de marque, ne peut être retenue.  </w:t>
        <w:br/>
        <w:t xml:space="preserve">3. CONCLUSION  </w:t>
        <w:br/>
        <w:t xml:space="preserve">57. Au regard de ce qui précède, il apparaît que les pratiques dénoncées ne constituent pas une violation des règles de concurrence applicables. Les plaintes formulées à cet égard doivent donc être rejetées.  </w:t>
        <w:br/>
        <w:t xml:space="preserve">58. Il est en conséquence décidé de clore la procédure sans suite.  </w:t>
        <w:br/>
        <w:t xml:space="preserve">59. Cette décision sera notifiée aux parties et publiée conformément aux dispositions légales en vigueur.  </w:t>
        <w:br/>
        <w:t xml:space="preserve">60. Fait à [lieu], le [date].  </w:t>
        <w:br/>
        <w:t xml:space="preserve">[Signature]  </w:t>
        <w:br/>
        <w:t>[Nom et titre de l'autorité compétente]</w:t>
      </w:r>
    </w:p>
    <w:p>
      <w:r>
        <w:rPr>
          <w:b/>
        </w:rPr>
        <w:t>[Pages 13–15]</w:t>
      </w:r>
    </w:p>
    <w:p>
      <w:r>
        <w:t xml:space="preserve">contract of concession cannot impose on the dealer any other restriction of competition than the obligation not to manufacture or distribute competing products to those referred to in the contract; that the court of appeal which decides that this exemption applies and that the contract it interprets as prohibiting the dealer from marketing products likely to compete with the products of the grantor, even if, in the case of mopeds and scooters, they have different technical characteristics or power, has violated the aforementioned text, together with Article 85, which became Article 81 of the Treaty of Rome;  </w:t>
        <w:br/>
        <w:t xml:space="preserve">But considering that, contrary to the assertions of the argument, a clause prohibiting the sale by the exclusive dealer of products likely to compete with those of the grantor must be considered as exempted by Regulation No. 1983/83 of June 22, 1983; it follows that having noted that the products that the company Moto Ouest had decided to market belonged to the category of mopeds and scooters, the court of appeal, which holds that these products were thereby necessarily likely to compete with the products marketed by the company MBK, could decide that their marketing was prohibited by the contract; that the argument is unfounded."  </w:t>
        <w:br/>
        <w:t xml:space="preserve">54. During the session, Moto Ouest nevertheless argued that the products it had decided to market were not competing with those covered by the brand exclusivity, since they were motorcycles with a power exceeding 50 cm3.  </w:t>
        <w:br/>
        <w:t xml:space="preserve">55. However, it appears from a letter from Moto Ouest to MBK submitted by Moto Ouest to the file (registered on September 17, 2004) that three of the products in question had a displacement of 50 cm3, placing them in the same market as the MBK products covered by the brand exclusivity clause of the contract, and that only one had a displacement exceeding that. Therefore, the termination of the contract by the grantor appears to have been regular, as confirmed by the courts seized, the dealer having breached a substantial obligation of its contract.  </w:t>
        <w:br/>
        <w:t xml:space="preserve">C. ON A POSSIBLE ABUSE OF DOMINANT POSITION  </w:t>
        <w:br/>
        <w:t xml:space="preserve">56. If the coordination on the market of non-autonomous companies of the same group does not fall under the law of collusion, it may, where appropriate, constitute a unilateral practice constituting an abuse of dominant position, as can be seen from the analysis developed in the judgment Viho Europe BV/Commission (C-73/95, Rec. p. I-5457), mentioned in point 35 of this decision. In this case, the complainants argue that the policy of the Yamaha group is detrimental to the network of MBK dealers, and the Council finds it useful to verify whether the practices denounced do not have an object and/or an anti-competitive effect contrary to the provisions of Article L. 420-2 of the Commercial Code and Article 82 EC.  </w:t>
        <w:br/>
        <w:t xml:space="preserve">57. However, the elements set out in points 0 and 32 of this decision do not allow for a determination of the existence of a dominant position of the Yamaha group in the market for unregistered vehicles. While it is established that between 1998 and 2000, the group held nearly 40% of this market, the elements of the file are insufficient regarding the intensity of competition to determine whether or not there is a situation of dominance. In particular, the market shares of competitors are only available for certain segments and not for the entirety of the market.  </w:t>
        <w:br/>
        <w:t xml:space="preserve">58. However, insofar as the practices denounced, set out in points 8 and 9 of this decision, fall under the free choice of the commercial organization of a group and are not anti-competitive, it is not necessary, for the purposes of this case, to rule on the existence or not of a dominant position of the Yamaha group in the relevant market.  </w:t>
        <w:br/>
        <w:t xml:space="preserve">59. Indeed, firstly, under the conditions definitively established by the courts seized in this case, the break in commercial relations mentioned by the complainants cannot constitute an abuse prohibited by Article L. 420-2 of the Commercial Code, and where applicable, by Article 82 EC. Furthermore, as the Council notably recalled in Opinion No. 04-A-14 of July 23, 2004, the freedom of a supplier to organize its distribution network is a basic principle, provided that the distribution methods implemented do not have the object or effect of affecting the functioning of the market. This freedom justifies that a manufacturer is "free to modify the structure of its distribution network as it sees fit without its co-contractors benefiting from an acquired right to maintain their situation."  </w:t>
        <w:br/>
        <w:t xml:space="preserve">60. In particular, from the judicial procedure concerning the termination of the Moto Ouest contract, set out in point 12 of this decision, it appears that the termination of its dealership contract by MBK on June 11, 1998, was attributable to Moto Ouest, which had violated the non-competition clause inserted therein. Moreover, it has not been established in the context of this procedure that the sales targets assigned to Moto Ouest did not take into account the evolution of the performance of the MBK brand, or that Moto Ouest had been subject to discrimination in the application of discounts. Finally, the evolution of the payment terms that this dealer benefited from reflected the absence of any discriminatory attitude towards it. The investigation before the Council having brought no additional elements, it appears that the contract binding MBK and Moto Ouest was terminated under non-abusive conditions.  </w:t>
        <w:br/>
        <w:t xml:space="preserve">61. Regarding the denunciations by MBK and Yamaha of the dealership contracts binding them to Lamy Moto, it appears from the judicial procedure set out in point 13 of this decision that these contracts were also terminated under non-abusive conditions, the investigation of this referral having not provided additional elements on this point.  </w:t>
        <w:br/>
        <w:t xml:space="preserve">62. Secondly, the allegations of the complainants that Yamaha products are favored to the detriment of those of MBK, which would favor the Yamaha distribution network to the detriment of that of MBK, are unfounded. The file does not contain any elements related to the circumstance that the two brands market identical models, seriously supporting this claim. The example of very slightly different discount rates granted for spare parts is insufficient to establish a difference in treatment such that MBK dealers would be put in financial difficulty. The problems that the complainants encountered in their relations with the network heads have other origins. In general, it is permissible for a group that owns brands with unequal commercial positioning to organize the distribution and advertising of these brands so that these differences in notoriety are exploited.  </w:t>
        <w:br/>
        <w:t xml:space="preserve">63. Thirdly, the allegations of the complainants that the group's policy to limit MBK's market share to 30% deprives MBK dealers of the necessary leeway to achieve their objectives and thus prevents them from complying with certain clauses of their distribution contract do not establish an abuse of dominant position. As stated in point 59 of this decision, regarding competition law, an operator can decide its commercial policy as long as it does not adopt anti-competitive behaviors and its distributors do not benefit from acquired rights in this regard. In this case, no element shows the reality of the anti-competitive object of the commercial objectives of the MBK brand or their effects, real or potential, that would have prevented MBK dealers from properly conducting their business.  </w:t>
        <w:br/>
        <w:t xml:space="preserve">64. Moto Ouest argued during the session, denouncing an abuse of economic dependence, that the two complainants had not found alternative solutions for the distribution of MBK products when commercial difficulties with the latter arose.  </w:t>
        <w:br/>
        <w:t xml:space="preserve">65. As stated by the Paris Court of Appeal in the judgment of May 4, 2004, confirming Decision No. 03-D-42 of the Competition Council:  </w:t>
        <w:br/>
        <w:t xml:space="preserve">“(...) the state of economic dependence, within the meaning of Article L. 420-2 of the Commercial Code, even in its wording resulting from the law of May 15, 2001, is assessed by taking into account both the importance of the supplier's share in the reseller's turnover, the notoriety of the supplier's brand, the importance of the supplier's market share, and the impossibility for the distributor to obtain from other suppliers equivalent products;”  </w:t>
        <w:br/>
        <w:t xml:space="preserve">66. In this case, the assertion during the session of the absence of alternatives for the complainants to continue their activity was not supported by any specific factual element. In any case, even assuming that the conditions for the existence of a situation of economic dependence were met, it follows from the above that no abusive behavior by MBK towards its dealers could be demonstrated.  </w:t>
        <w:br/>
        <w:t xml:space="preserve">67. Therefore, it is not established that the companies of the Yamaha group have infringed the provisions of Article L. 420-2 of the Commercial Code and Article 82 EC.  </w:t>
        <w:br/>
        <w:t xml:space="preserve">DECISION  </w:t>
        <w:br/>
        <w:t xml:space="preserve">Sole Article: It is not established that the companies Yamaha Motor France and MBK have infringed the provisions of Articles L. 420-1 and L. 420-2 of the Commercial Code and Articles 81 and 82 of the Treaty establishing the European Community.  </w:t>
        <w:br/>
        <w:t xml:space="preserve">Deliberated on the oral report of Ms. Aloy, rapporteur, by Mr. Lasserre, president, Ms. Aubert and Mr. Perrot and Mr. Nasse, vice-presidents.  </w:t>
        <w:br/>
        <w:t xml:space="preserve">The session secretary, The president,  </w:t>
        <w:br/>
        <w:t xml:space="preserve">Rita Sougoumarane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