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https://www.autoritedelaconcurrence.fr/fr/decision/relative-la-saisine-du-syndicat-francais-des-assurances-conseils-contre-les-pratiques</w:t>
      </w:r>
    </w:p>
    <w:p>
      <w:r>
        <w:t>Pages translated : 7</w:t>
      </w:r>
    </w:p>
    <w:p/>
    <w:p>
      <w:r>
        <w:rPr>
          <w:b/>
        </w:rPr>
        <w:t>[Pages 1–3]</w:t>
      </w:r>
    </w:p>
    <w:p>
      <w:r>
        <w:t>Decision No. 02-D-66 of November 6, 2002</w:t>
        <w:br/>
        <w:t>regarding practices implemented by direct insurance companies</w:t>
        <w:br/>
        <w:t>The Competition Council (Section I),</w:t>
        <w:br/>
        <w:t>Having regard to the letter registered on April 15, 1997, under number P 05, by which the French Union of Insurance Advisors (SFAC) referred to the Competition Council, pursuant to Article L. 462-5 of the Commercial Code, practices implemented by the companies Direct Assurance IARD, Tellit Direct Assurance, Eurofil, and Société occidentale d’assurance;</w:t>
        <w:br/>
        <w:t>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w:t>
        <w:br/>
        <w:t>Having regard to the observations presented by the SFAC and by the Government Commissioner;</w:t>
        <w:br/>
        <w:t>Having regard to the other documents in the file;</w:t>
        <w:br/>
        <w:t>The rapporteur, the deputy general rapporteur, the Government Commissioner, and the SFAC heard during the session of September 10, 2002;</w:t>
        <w:br/>
        <w:t>Adopts the decision based on the findings (I) and the reasons set forth below (II);</w:t>
        <w:br/>
        <w:t>I. - Findings</w:t>
        <w:br/>
        <w:t>A. - THE SECTOR</w:t>
        <w:br/>
        <w:t>1. The automobile insurance market</w:t>
        <w:br/>
        <w:t xml:space="preserve">Insurance is generally defined as the operation by which a person, the insurer, commits to perform a service for the benefit of another person, the insured, in the event of the occurrence of a random event, the risk, in exchange for the payment of a sum, the premium or contribution. </w:t>
        <w:br/>
        <w:t>Two main characteristics are attached to the insurance operation:</w:t>
      </w:r>
    </w:p>
    <w:p>
      <w:r>
        <w:t xml:space="preserve">on the one hand, it is not isolated: it can only exist because it is included in a set of operations of the same nature, the insurer being able to execute its services only because a mutualization of risks is operated by distributing their burden across all insured parties; </w:t>
        <w:br/>
        <w:t xml:space="preserve">on the other hand, the insurance operation results in the formation of a contract, in which, against a given risk, the insurer's co-contractor obtains a guarantee by paying a premium. </w:t>
        <w:br/>
        <w:t xml:space="preserve">Two branches are identified, life insurance and property insurance. In 1997, the French insurance market comprised 543 companies, including 397 property insurance companies and 28 mixed companies (life insurance companies authorized to cover accident and health risks managed separately). </w:t>
        <w:br/>
        <w:t xml:space="preserve">Property insurance is defined as insurance covering damages that affect the physical integrity of a person, that are suffered by their property, or that engage their civil liability. With 91 billion in contributions in 1997, nearly 50% of the total, damages related to automobiles, either caused to third parties or caused to the insured's vehicle, are the main risk covered by property insurance. </w:t>
        <w:br/>
        <w:t xml:space="preserve">Automobile insurance is relatively concentrated: ten major groups shared nearly 83% of the total premiums in 1997, and the top four groups accounted for more than 50% of this total. </w:t>
        <w:br/>
        <w:t xml:space="preserve">Over the last decade, this activity has been characterized by stagnation in insurable material and very intense competition across all branches, amplified by the diversification of distribution methods. </w:t>
        <w:br/>
        <w:t>Insurers present in the automobile market are divided into two main categories:</w:t>
        <w:br/>
        <w:t xml:space="preserve">Anonymous insurance companies, such as AXA, AGF, or Generali, which operate according to the same scheme as all commercial companies. </w:t>
        <w:br/>
        <w:t xml:space="preserve">Mutual insurance companies, whose insured parties are members. Mutuals with intermediaries, such as the Mutuelles du Mans, are represented by general agents and brokers. They resemble anonymous companies and are open to all types of clientele. Mutuals without intermediaries (MSI) were originally reserved for certain professions, but some of them, like MACIF and MAAF, are now generalists. In contrast, GMF (civil servants) and MAIF (teachers) remain reserved for the relevant professions. </w:t>
        <w:br/>
        <w:t>2. The diversification of distribution methods</w:t>
        <w:br/>
        <w:t xml:space="preserve">The distribution methods for automobile insurance products have diversified over the past twenty years, with distribution without intermediaries becoming increasingly important. </w:t>
        <w:br/>
        <w:t xml:space="preserve">Intermediaries are general agents and brokers. The general agent, an independent professional, is mandated by a company to bring clients to it, whom he advises and whose contracts he manages. His remuneration consists of commissions, around 16% of the pre-tax premiums in automobile insurance. As an exclusive agent, he must bring all his clientele to the mandating company except in the case of risks that it does not cover. In this case, he may be an agent for several companies. The broker is an independent merchant mandated by his clients to place their risks under the best conditions with an insurance company. Therefore, he typically approaches several companies. He owns his portfolio and is compensated by a commission of approximately 15% on the pre-tax amount of automobile premiums. </w:t>
        <w:br/>
        <w:t>The distribution methods without intermediaries are varied:</w:t>
        <w:br/>
        <w:t>- salaried networks of insurance corporations,</w:t>
        <w:br/>
        <w:t>- mutual companies without intermediaries,</w:t>
        <w:br/>
        <w:t>- banking networks (bancassurance),</w:t>
        <w:br/>
        <w:t>- direct sales (by telephone),</w:t>
        <w:br/>
        <w:t>- large retail distribution,</w:t>
        <w:br/>
        <w:t>- other channels (such as automotive manufacturer networks) and new platforms (Minitel, Internet…).</w:t>
        <w:br/>
        <w:t>3. Direct insurance</w:t>
        <w:br/>
        <w:t xml:space="preserve">The sale of direct insurance contracts is carried out by telephone and by mail. Direct insurers select the drivers they wish to insure according to clearly displayed criteria (number of claims, level of malus/bonus, driver profile...) in order to attract the best risks. They offer competitive premiums. </w:t>
        <w:br/>
        <w:t xml:space="preserve">In France, direct insurance was introduced in a dynamic competitive context due, in particular, to the development of mutuals and the price freedom obtained in 1986. In 1976, direct mutuals and other companies without intermediaries represented 1/5 of the market, with 4/5 constituted by agents and brokers. Twenty years later, companies without intermediaries and agents or brokers shared the market almost equally. </w:t>
        <w:br/>
        <w:t>Representatives of Direct Assurance IARD, a 100% subsidiary of AXA, explained the reasons that led traditional insurers to create direct insurance companies. They indicated that traditional insurers, in the early 1980s, had vainly attempted to combat the decline of their market shares by emphasizing the selection of good drivers. Then, their reflections turned to the introduction of new distribution methods, without intermediaries, in order to draw the consequences of market segmentation and the emergence of a new clientele more sensitive to price levels than to the services provided by brokers and insurance agents. Of relatively recent creation, the seven companies specializing in direct insurance are subsidiaries of major traditional insurance groups. The English example has strongly contributed to encouraging traditional insurance companies to create a direct distribution system. Indeed, direct insurance has become the main distribution channel for automobile insurance in the United Kingdom, with direct sales companies having acquired, in the space of about ten years, 30% of the British automobile insurance market, according to the report on distance insurance sales published in 1997 by the Center for Insurance Analysis and Prospective.</w:t>
      </w:r>
    </w:p>
    <w:p>
      <w:r>
        <w:rPr>
          <w:b/>
        </w:rPr>
        <w:t>[Pages 4–6]</w:t>
      </w:r>
    </w:p>
    <w:p>
      <w:r>
        <w:t>In France, insurers estimated the potential market share of direct insurance at around 10%. In fact, this new distribution method has not managed to establish itself against the offerings of mutual insurance without intermediaries and the sale of insurance contracts at the counters of financial institutions, as indicated by various available evaluations. A SOFRES survey conducted in March 1993 estimated the penetration rate of direct insurance at 1.3%. According to the report of the French Federation of Insurance Companies for the year 1997, direct sales accounted for only 2.9% of the property insurance market. Regarding automobile insurance, the five companies whose turnover figures are available, with Nexx and Zuritel not having published their results, held 0.76% of the market in 1997. The Argus of May 3, 2002 estimates the penetration rate of direct insurance in the property insurance market at 1.5%.</w:t>
      </w:r>
    </w:p>
    <w:p>
      <w:r>
        <w:t>The distribution of automobile insurance now goes through traditional networks, bank counters, car manufacturers, large retail distribution, distance selling, and internet portal sites. This diversification contributes to increasing competition in this segment, and the pressure on prices remains strong. The intensification of competition now encourages insurers to develop ancillary services within contracts to differentiate their offerings and retain their clientele.</w:t>
      </w:r>
    </w:p>
    <w:p>
      <w:r>
        <w:t>DISTRIBUTION OF MODES OF DISTRIBUTION IN PROPERTY INSURANCE (in %)</w:t>
        <w:br/>
        <w:t>1993 1994 1995 1996 1997</w:t>
        <w:br/>
        <w:t>Counters* 3 4 5 5.2 5.9</w:t>
        <w:br/>
        <w:t>Agents 44 42 40 38.9 36.8</w:t>
        <w:br/>
        <w:t>Brokers 19 19 20 19.0 19.2</w:t>
        <w:br/>
        <w:t>Salaried 4 4 4 4.0 3.3</w:t>
        <w:br/>
        <w:t>Companies without intermediaries 27 28 29 30.8 31.9</w:t>
        <w:br/>
        <w:t>Direct sales and other modes 3 3 2 2.1 2.9</w:t>
        <w:br/>
        <w:t>Source: FFSA report 1997 cf. document 1724, p. 63 (reference 432)</w:t>
        <w:br/>
        <w:t>* Counters of financial institutions, the Post Office, and the Treasury</w:t>
      </w:r>
    </w:p>
    <w:p>
      <w:r>
        <w:t>B. - THE ALLEGED FACTS</w:t>
        <w:br/>
        <w:t>The French Union of Insurance Brokers (SFAC), whose members are insurance brokers, accuses four direct insurance companies, Direct Assurance IARD, Tellit Direct Assurance, Eurofil, and Société occidentale d’assurance, of offering automobile insurance contracts at very low rates, 40 to 50% cheaper than those practiced by traditional companies, in order to eliminate insurance brokers from the automobile insurance market.</w:t>
      </w:r>
    </w:p>
    <w:p>
      <w:r>
        <w:t>The SFAC claims that this practice can be classified as abusively low pricing within the meaning of Article L. 420-5 of the Commercial Code and argues that these four companies record significant and recurring accounting losses and that their expenses exceed the amount of premiums collected. According to them, this practice of abusively low pricing reveals the intention of direct insurance companies to dominate the automobile insurance market and eliminate brokers.</w:t>
      </w:r>
    </w:p>
    <w:p>
      <w:r>
        <w:t>II. - Based on the preceding findings, the Council,</w:t>
        <w:br/>
        <w:t>Considering that Article L. 464-6 of the Commercial Code states that "When no practice likely to harm competition in the market is established, the Competition Council may decide, after the applicant and the Government Commissioner have been able to consult the file and make their observations, that there is no need to continue the procedure"; that Article L. 420-5 of the Commercial Code states that "offers of selling prices to consumers that are abusively low compared to production, transformation, and marketing costs are prohibited, provided that these offers or practices aim to eliminate a company or one of its products from a market or prevent access to a market."</w:t>
      </w:r>
    </w:p>
    <w:p>
      <w:r>
        <w:t>Considering that the automobile insurance contract standardly covers four major risks: protection against theft or damage to the vehicle, protection against fire, protection against glass breakage, and protection against damages resulting from an accident, to which additional guarantees such as assistance or driver protection may be added; that automobile insurance contracts, regardless of the sales medium, offer similar services; that insured parties, when taking out automobile insurance, have the sole objective of preventing the risks associated with vehicle ownership; that it follows from the above that the relevant market to be considered is the automobile insurance market;</w:t>
      </w:r>
    </w:p>
    <w:p>
      <w:r>
        <w:t>Considering that the SFAC argues that the rates offered by direct insurance companies are abusively low within the meaning of Article L. 420-5 of the Commercial Code; that the Competition Council has repeatedly clarified that "the provisions considered that define abusively low prices compared to production, transformation, and marketing costs align with the jurisprudence of the Community and national law on predatory pricing," notably in its opinion No. 97-A-18 of July 8, 1997, regarding the application of Article 10-1 of the ordinance in the music sector; that the practice of predatory pricing constitutes an abuse for a company in a dominant position; that the Council recalled, in this same opinion, the definition of predatory pricing as given by the Court of Justice of the European Communities in the AKZO judgment of July 3, 1991: "- prices below the average variable costs (...) by which a dominant company seeks to eliminate a competitor must be considered abusive. A dominant company has no interest in practicing such prices, except to eliminate its competitors (...) since each sale results in a loss for it, namely the total fixed costs (...) and at least part of the variable costs related to the produced unit; - furthermore, prices below the average total costs that include fixed and variable costs, but above the average variable costs, must be considered abusive when set within a plan aimed at eliminating a competitor"; that it has stated that: "In any case, variable costs that allow for the presumption of an exclusion effect will be taken into account; reference to average total costs can only be made if the practice of low prices is accompanied by sufficiently serious, convincing, and consistent evidence of a deliberate intention to capture customers at the expense of the competitor. This intention may result from the conditions under which the practice was implemented, particularly when it deviates from the distributor's usual commercial policy and/or because it is clearly directed against a competitor";</w:t>
      </w:r>
    </w:p>
    <w:p>
      <w:r>
        <w:t>Considering that it follows from the references recalled that, in the event that a company practiced a selling price that was below variable costs, the proof of the intention to exclude results as a matter of law from the implementation of this practice if the company is in a dominant position, as is the case in the circumstances of the AKZO judgment; but that if the company is not in a dominant position, as is the case considered in opinion No. 97-A-18 regarding abusively low prices, this practice constitutes a simple presumption or indication of its intention to exclude, which must be supplemented by other indications to establish the existence of such an intention; that, in this latter case, it is then necessary to examine whether the demonstration of the intention to exclude or the potential for exclusion, required by the text of Article L. 420-5 of the Commercial Code, results from all the elements in the file; that, in the case at hand, it is therefore necessary to compare the rates of direct insurers to the costs actually incurred and to establish whether these rates can have the object or effect of eliminating insurance brokers from the automobile insurance market;</w:t>
      </w:r>
    </w:p>
    <w:p>
      <w:r>
        <w:t>On the comparison of rates to costs</w:t>
        <w:br/>
        <w:t>Considering that it is not sufficient to note that direct insurance companies offer rates significantly lower than those usually practiced by traditional insurers in the automobile insurance market to establish the existence of an abusively low price within the meaning of Article L. 420-5 of the Commercial Code, as this difference may be explained by disparities in cost, profitability, or a stronger risk selection;</w:t>
      </w:r>
    </w:p>
    <w:p>
      <w:r>
        <w:t>Considering, indeed, that a comparison between, on the one hand, the rates applied to insurance products at the signing of a contract and, on the other hand, the total costs incurred by the insurer, requires a complex calculation taking into account the random variables of the probability of a claim and the total duration of the contract; that, indeed, it involves comparing the present value of the sum of premiums paid over the future duration of the contract with the present value, over the same duration, of the costs of acquisition, marketing, and management of the contract, increased by the present value of the cost of future claims; that, in the case of direct insurance companies, this calculation would be biased by the fact that, being relatively newly established and in a phase of rapid growth of their risk portfolio, they incur high acquisition costs, without the average duration of their contracts having reached full maturity; that, consequently, the accounting losses recorded by the companies in question are not sufficient to demonstrate that their prices are below total costs;</w:t>
      </w:r>
    </w:p>
    <w:p>
      <w:r>
        <w:t>On the object or effect of exclusion</w:t>
      </w:r>
    </w:p>
    <w:p>
      <w:r>
        <w:rPr>
          <w:b/>
        </w:rPr>
        <w:t>[Pages 7–7]</w:t>
      </w:r>
    </w:p>
    <w:p>
      <w:r>
        <w:t>Considering, firstly, that it appears from the elements of the file that the establishment of direct insurance by traditional insurers was carried out to face the competition from mutuals, the latter's acquisition of a significant market share having indeed shown that the market had segmented and that a significant portion of the clientele was less sensitive to the services provided by intermediaries, such as brokers, than to the rates applied; that the pursued objective was therefore not the eviction of insurance brokers, who continue to distribute a notable, albeit declining, share of automobile insurance (17%), but the diversification of the distribution methods offered to consumers; that such diversification is likely to promote competition;</w:t>
      </w:r>
    </w:p>
    <w:p>
      <w:r>
        <w:t>Considering, secondly, that no element of the file allows establishing that the rates applied by direct insurers have had the effect of evicting brokers from the market or have been the direct cause of a significant decrease in their turnover; that the likelihood of brokers being evicted due to the companies in question is low, given the small market share held by direct insurance, which is less than 3%; that the Council, in opinion no. 97-A-18 mentioned above, had emphasized that: "Only a very low pricing practice implemented by a distributor, whose continued presence in the market is in any case assured notably due to its market share, financial capabilities, commercial structures, and provided that the practice is likely to evict from the previously defined market distributors who themselves do not have the means to resist this commercial practice, could be deemed abusive";</w:t>
      </w:r>
    </w:p>
    <w:p>
      <w:r>
        <w:t>Considering that it follows from the above that it is appropriate to apply the provisions of Article L. 464-6 of the Commercial Code;</w:t>
      </w:r>
    </w:p>
    <w:p>
      <w:r>
        <w:t>DECIDES</w:t>
      </w:r>
    </w:p>
    <w:p>
      <w:r>
        <w:t>Sole Article: There is no need to continue the procedure.</w:t>
      </w:r>
    </w:p>
    <w:p>
      <w:r>
        <w:t>Deliberated, on the oral report of Ms. Toulemont-Dakouré, by Mr. Nasse, Vice-President, presiding over the session, Ms. Perrot, Messrs. Charrière-Bournazel, Lasserre, and Piot, members.</w:t>
      </w:r>
    </w:p>
    <w:p>
      <w:r>
        <w:t xml:space="preserve">The session secretary,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