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https://www.autoritedelaconcurrence.fr/fr/decision/relative-la-saisine-emanant-des-communes-de-dignes-les-bains-comps-sur-artuby-limans</w:t>
      </w:r>
    </w:p>
    <w:p>
      <w:r>
        <w:t>Pages translated : 2</w:t>
      </w:r>
    </w:p>
    <w:p/>
    <w:p>
      <w:r>
        <w:rPr>
          <w:b/>
        </w:rPr>
        <w:t>[Pages 1–2]</w:t>
      </w:r>
    </w:p>
    <w:p>
      <w:r>
        <w:t xml:space="preserve">FRENCH REPUBLIC  </w:t>
        <w:br/>
        <w:t xml:space="preserve">Decision No. 92-D-54 of October 6, 1992  </w:t>
        <w:br/>
        <w:t xml:space="preserve">concerning the referral from the municipalities of Dignes-les-Bains, Comps-sur-Artuby, Limans, Pierrefeu-du-Var, the P.A.C.A. Regional Union of the C.F.D.T., and the Confédération paysanne 04  </w:t>
        <w:br/>
        <w:t xml:space="preserve">The Competition Council (section I),  </w:t>
        <w:br/>
        <w:t xml:space="preserve">Having regard to the letter registered on August 3, 1992, under number F 526, by which the municipalities of Dignes-les-Bains, Comps-sur-Artuby, Limans, Pierrefeu-du-Var, the P.A.C.A. Regional Union of the C.F.D.T., and the Confédération paysanne 04 referred to the Competition Council a decision of the Conseil supérieur de l'audiovisuel 'allocating radio frequencies in the Provence-Alpes-Côte d'Azur region, a decision which, [..., would] seriously undermine the principle of free competition';  </w:t>
        <w:br/>
        <w:t xml:space="preserve">Having regard to Ordinance No. 86-1243 of December 1, 1986, as amended, concerning the freedom of prices and competition, together with Decree No. 86-1309 of December 29, 1986, as amended, taken for its application;  </w:t>
        <w:br/>
        <w:t xml:space="preserve">Having regard to Law No. 86-1067 of September 30, 1986, as amended, concerning the freedom of communication;  </w:t>
        <w:br/>
        <w:t xml:space="preserve">Having regard to the observations presented by the municipalities of Dignes-les-Bains, Comps-sur-Artuby, Limans, Pierrefeu-du-Var, the P.A.C.A. Regional Union of the C.F.D.T., and the Confédération paysanne 04;  </w:t>
        <w:br/>
        <w:t xml:space="preserve">Having regard to the other documents in the file;  </w:t>
        <w:br/>
        <w:t xml:space="preserve">The rapporteur, the general rapporteur, the Government commissioner, and the referring parties heard;  </w:t>
        <w:br/>
        <w:t>Considering that the referring parties request the Competition Council to note that the renewal in June 1991, by the Conseil supérieur de l'audiovisuel, of the broadcasting authorizations in the Provence-Alpes-Côte d'Azur region, and in particular the direct or indirect allocation of 45 frequencies to the Hachette group, which is more frequencies than those granted to associative radios and more than a quarter of those granted to commercial radios, was done in violation of Articles 1, 29, and 41-2 of the law of September 30, 1986 and constitutes an infringement of the principle of free competition set forth in this text;</w:t>
      </w:r>
    </w:p>
    <w:p>
      <w:r>
        <w:t xml:space="preserve">Considering that pursuant to the provisions of Article 41-4 of the law of September 30, 1986 'the Competition Council ensures respect for the principle of freedom of competition in the audiovisual communication sector, according to the rules and under the conditions provided for by Ordinance No. 86-1243 of December 1, 1986 concerning the freedom of prices and competition, except for its Title V';  </w:t>
        <w:br/>
        <w:t xml:space="preserve">Considering that under the terms of Article 19 of the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on the one hand, that the decisions by which the Conseil supérieur de l'audiovisuel, an independent authority, grants or renews the authorizations for the use of radio frequencies, are administrative decisions whose review in light of the provisions of the aforementioned law of September 30, 1986 does not fall within the scope of the Competition Council's competence;  </w:t>
        <w:br/>
        <w:t xml:space="preserve">Considering, on the other hand, that while the referring parties argue that the allocation of frequencies in June 1991 placed the Hachette group in a dominant position in the Provence-Alpes-Côte d'Azur region, thereby restricting competition in this region, these assertions are not accompanied by any elements capable of proving the existence of concerted action or abuse on the part of this group,  </w:t>
        <w:br/>
        <w:t xml:space="preserve">Decides:  </w:t>
        <w:br/>
        <w:t xml:space="preserve">Sole Article. - The referral registered under number 526 is declared inadmissible.  </w:t>
        <w:br/>
        <w:t xml:space="preserve">Adopted on the oral report of Ms. Marion Ces by Mr. Béteille, vice-president presiding over the session, Mr. Bon, Ms. Hagelsteen, Ms. Lorenceau, and Mr. Schmidt, members.  </w:t>
        <w:br/>
        <w:t xml:space="preserve">The general rapporteur, The vice-president, 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