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https://www.autoritedelaconcurrence.fr/fr/decision/relative-la-saisine-et-la-demande-de-mesures-conservatoires-presentees-par-la-societe-0</w:t>
      </w:r>
    </w:p>
    <w:p>
      <w:r>
        <w:t>Pages translated : 7</w:t>
      </w:r>
    </w:p>
    <w:p/>
    <w:p>
      <w:r>
        <w:rPr>
          <w:b/>
        </w:rPr>
        <w:t>[Pages 1–3]</w:t>
      </w:r>
    </w:p>
    <w:p>
      <w:r>
        <w:t xml:space="preserve">FRENCH REPUBLIC  </w:t>
        <w:br/>
        <w:t xml:space="preserve">Decision No. 03-MC-02 of March 5, 2003  </w:t>
        <w:br/>
        <w:t xml:space="preserve">regarding the referral and request for interim measures  </w:t>
        <w:br/>
        <w:t>submitted by the company Cegetel</w:t>
      </w:r>
    </w:p>
    <w:p>
      <w:r>
        <w:t xml:space="preserve">The Competition Council (section IV),  </w:t>
        <w:br/>
        <w:t xml:space="preserve">Having regard to the letter registered on October 29, 2002, under numbers 02/0094 F and 02/0095 M, by which the company Cegetel referred to the Competition Council certain practices of the company France Télécom that it considers anti-competitive and also requested the issuance of interim measures;  </w:t>
        <w:br/>
        <w:t xml:space="preserve">Having regard to Book IV of the Commercial Code relating to price freedom and competition and Decree No. 02-689 of April 30, 2002, setting its conditions of application.  </w:t>
        <w:br/>
        <w:t xml:space="preserve">Having regard to Opinion No. 03-64 adopted by the Telecommunications Regulatory Authority on January 14, 2003, at the request of the Council;  </w:t>
        <w:br/>
        <w:t xml:space="preserve">Having regard to the observations presented by the companies Cegetel, France Télécom, and the Government Commissioner;  </w:t>
        <w:br/>
        <w:t xml:space="preserve">Having regard to the other documents in the file;  </w:t>
        <w:br/>
        <w:t>The rapporteur, the deputy general rapporteur, the Government Commissioner, and the representatives of the companies Cegetel and France Télécom heard during the session of February 5, 2003;</w:t>
      </w:r>
    </w:p>
    <w:p>
      <w:r>
        <w:t xml:space="preserve">I. - The Referral  </w:t>
        <w:br/>
        <w:t xml:space="preserve">1. By letter dated October 29, 2002, the company Cegetel referred to the Competition Council practices implemented by the company France Télécom, which it considers prohibited by the provisions of Articles L. 420-1 and L. 420-2 of the Commercial Code and which concern the sector of special telephone services of toll-free call ("toll-free numbers" of France Télécom) and shared-cost ("azure numbers" and "indigo numbers" of France Télécom). It accompanied this referral with a request for interim measures.  </w:t>
        <w:br/>
        <w:t xml:space="preserve">2. Special telephony services consist of offering businesses, administrations, and associations the possibility of establishing communication: either free for the caller (so-called "toll-free" services, which appeared in 1984), or charged to the caller at a rate that is independent of their geographical location (so-called "shared-cost" services, launched in 1989 and 1996), or at a uniform and surcharged rate to allow for remuneration of the provider who wants to offer value-added services (these are the so-called "revenue-sharing" services, which are not included in the scope of the complaint).  </w:t>
        <w:br/>
        <w:t xml:space="preserve">3. These services were opened to competition as of January 1, 1998. Until that date, the historical operator, France Télécom, benefited from a monopoly in this sector.  </w:t>
        <w:br/>
        <w:t xml:space="preserve">4. The intensity of competition in the sector of telephone communication services and even more so in the sector of special services has been significantly increased by the implementation of number portability, which is defined, according to the ART, as "the possibility offered to a subscriber of a telecommunications operator to change operators while retaining their number." Under Directives 98/61/EC of September 24, 1998, and 2002/22/EC of March 7, 2002, concerning universal service, the principle of portability constitutes a regulatory community obligation. In accordance with Article D. 99-16 of the Postal and Telecommunications Code, it is also a national obligation imposed on all operators; so that, as specified by the ART, "Number portability must be able to be exercised freely, regardless of the 'originating' and 'receiving' operators."  </w:t>
        <w:br/>
        <w:t xml:space="preserve">5. However, while Article L. 34-10 of the Postal and Telecommunications Code provided for the implementation of portability from January 1, 1998, it only became effective in July 2001 for toll-free numbers and since April-May 2002, for shared-cost numbers.  </w:t>
        <w:br/>
        <w:t xml:space="preserve">6. In its complaint, the company Cegetel denounces the practice of the company France Télécom consisting of reserving for its sole benefit the use of the designations "toll-free number," "azure number," and "indigo number" under the guise of trademark law. The complainant considers that this practice constitutes a diversion of the essential purpose of the protection granted by this law. It adds that France Télécom would impose on its clients, by virtue of its monopoly, the use of the aforementioned designations in order to transform them into a "communication standard" under conditions leading to an appropriation of the concerned telephone numbers and that it would refuse any action likely to mitigate these restrictive effects on competition, reinforcing on the contrary the clauses of its "Reception Number" contract and using judicial threats to discourage any contestation.  </w:t>
        <w:br/>
        <w:t xml:space="preserve">7. The company France Télécom concluded, on January 21, 2003, to the inadmissibility, in any case, of the referral from the company Cegetel as well as to the rejection of the request for provisional measures.  </w:t>
        <w:br/>
        <w:t>8. On January 27, 2003, France Télécom submitted to the file a supplementary document numbered 20. For its part, Cegetel produced, on January 31, 2003, additional documents numbered 25 to 41 as well as supplementary observations in response to France Télécom's memorandum of January 21, 2003. Given their lateness, the submissions of January 27 and 31 could not be submitted to contradictory debate and must, consequently, be excluded from the procedure.</w:t>
      </w:r>
    </w:p>
    <w:p>
      <w:r>
        <w:t xml:space="preserve">A) ON THE RELEVANT MARKET  </w:t>
        <w:br/>
        <w:t xml:space="preserve">9. It is not excluded, in the state of the file, that it may be possible to identify a relevant market for so-called "special service" telecommunications numbers, comprising two segments, on the one hand, "toll-free and azure numbers," and on the other hand, "indigo numbers," corresponding to an additional service to the basic telephone service marketed, in the form of low-cost telephone communication services, to a professional clientele that uses them in the context of its professional activity.  </w:t>
        <w:br/>
        <w:t xml:space="preserve">10. From the demand perspective, for users, understood as the clients contracting with the operators, special services essentially offer a means of direct communication with the public (information service or commercial service). For operators, these services mainly represent a significant potential for traffic.  </w:t>
        <w:br/>
        <w:t>11. To offer the public this type of service, operators simply cover the installation cost of the necessary equipment for routing and processing communications. The new entrant operator charges the called party for access fees to the service, the monthly subscription, optional services, and possibly for part of the price of communications.</w:t>
      </w:r>
    </w:p>
    <w:p>
      <w:r>
        <w:t xml:space="preserve">B) ON THE POSITION OF FRANCE TÉLÉCOM  </w:t>
        <w:br/>
        <w:t xml:space="preserve">12. According to its opinion, the ART considers that: "France Télécom still held at the end of 2001 more than 85% of toll-free numbers and 80% of shared-cost numbers."  </w:t>
        <w:br/>
        <w:t xml:space="preserve">13. Furthermore, the position of France Télécom is reinforced by the fact that this historical operator benefited from a monopoly in the relevant market from 1984 to 1998 and possesses a brand portfolio that was transferred to it by the State.  </w:t>
        <w:br/>
        <w:t xml:space="preserve">14. It should also be noted that large companies are, for the most part, clients of France Télécom, whereas, according to alternative operators, this is an extremely difficult clientele to capture, which gives France Télécom a decisive advantage, especially since French clients generally show little mobility.  </w:t>
        <w:br/>
        <w:t>15. It follows from the above that it is not excluded that France Télécom holds a dominant position in the market for toll-free and shared-cost special services.</w:t>
      </w:r>
    </w:p>
    <w:p>
      <w:r>
        <w:t xml:space="preserve">C) ON THE POSSIBLE QUALIFICATION OF ANTI-COMPETITIVE PRACTICES  </w:t>
        <w:br/>
        <w:t xml:space="preserve">16. The offer of special services by the company France Télécom is subject to the "Reception Numbers" contract and more specifically to "specific conditions," some clauses of which were introduced at the end of 2000, just a few months before the planned implementation of portability.  </w:t>
        <w:br/>
        <w:t xml:space="preserve">17. Firstly, this contract aims to assign a specific call number, so that the use of France Télécom's trademarks, which accompanies this assignment, is merely ancillary. The provision of a special number is not covered by trademark law, in accordance with Article L. 34-10 of the Postal and Telecommunications Code, which states that: "Numbers (...) cannot be protected by an industrial or intellectual property right."  </w:t>
        <w:br/>
        <w:t xml:space="preserve">18. Secondly, regarding the conditions for using France Télécom's trademarks, it is specified in Article 3.3 of the specific conditions of the "Reception Numbers" contract that: "France Télécom authorizes the client, within the framework of any communication operation, to use the trademarks as follows: either the nominative trademark Toll-Free Number, Azure Number, or Indigo Number alone, followed by the number and without borrowing any of the graphic components of the trademarks; or one of the graphic trademarks Toll-Free Number, Azure Number, or Indigo Number; the client then undertakes to respect the graphic charter included in the documentation provided to them." Under these provisions, the client thus benefits, at their choice, from a license for the nominative trademark (i.e., the designation) or a license for the graphic and nominative trademark on the condition, in this case, of respecting a graphic charter. The use of this charter, annexed to the France Télécom contract, also makes the registered trademarks and the assigned telephone numbers inseparable.  </w:t>
        <w:br/>
        <w:t xml:space="preserve">19. Thirdly, Article 3.3 of the contract provides that: "The expiration or termination of the contract ends the rights to use the trademarks that the client benefits from." This loss of the right to use France Télécom's trademarks is also subject to an express stipulation, in the event of number portability, in Article 14.4.2 as well as in the mandates annexed to France Télécom's interconnection agreements.  </w:t>
        <w:br/>
        <w:t xml:space="preserve">20. The aforementioned clause means that any termination of the contract results in the automatic and immediate loss of the authorization to use France Télécom's trademarks. According to the ART's opinion, the immediacy of this loss can incur such a cost for the client of France Télécom that it significantly reduces the transition to competition and prevents the application of portability.  </w:t>
        <w:br/>
        <w:t>21. Elements collected from an alternative operator thus reveal that the Urban Community of Bordeaux would have been forced to destroy thousands of brochures and redo posters that featured a number from the operator Prosodie with the "toll-free number" logo and that the Casino group would have had to commit to removing it within six months.</w:t>
      </w:r>
    </w:p>
    <w:p>
      <w:r>
        <w:rPr>
          <w:b/>
        </w:rPr>
        <w:t>[Pages 4–6]</w:t>
      </w:r>
    </w:p>
    <w:p>
      <w:r>
        <w:t>the trademarks of France Télécom present on its products. The Volkswagen group allegedly suspended its change of operator due to the consequences of such a change on the use, in its communication, of the term "toll-free number."</w:t>
      </w:r>
    </w:p>
    <w:p>
      <w:r>
        <w:t>22. To justify the practices it is accused of, France Télécom invokes the exploitation and protection rights of the trademarks it owns and disputes having erected barriers to market entry.</w:t>
      </w:r>
    </w:p>
    <w:p>
      <w:r>
        <w:t>23. Regarding trademark law, it should be recalled, however, that the rules governing it do not preclude the application of competition law. In terms of reconciling the principle of free community movement with national trademark rights, the notion of "specific subject matter," developed by the case law of the Court of Justice of the European Communities, allows for clarification of what may fall under the legal status of an industrial property right of a Member State without infringing the principle of free movement. The specific subject matter is understood in the sense that the essential function of the trademark must consist in guaranteeing consumers the origin identity of the product by allowing them to distinguish, without possible confusion, this product from one that has a different origin [CJEU, 119/75 of June 22, 1976, Terrapin and CJEU, 102/77 of May 23, 1978, Hoffman-Laroche].</w:t>
      </w:r>
    </w:p>
    <w:p>
      <w:r>
        <w:t>24. The Commission also emphasized, in a decision of December 21, 1988, that an industrial property right can be the tool of a characterized abuse when its use falls outside the scope of the specific subject matter of that right [Decision 89/205 of the Commission, December 21, 1988, aff. Magill].</w:t>
      </w:r>
    </w:p>
    <w:p>
      <w:r>
        <w:t>25. Finally, the Competition Council, applying the principles set forth in the Continental-Can and Hoffman-Laroche rulings issued by the CJEU in 1973 and 1979, recalled that the notion of abusive exploitation targets the behaviors of a company in a dominant position that are likely to influence the structure of a market where, precisely due to the presence of the company in question, the degree of competition is already weakened, and which have the effect of obstructing, by resorting to means different from those governing normal competition, the development of that competition [Decision 02-MC-05].</w:t>
      </w:r>
    </w:p>
    <w:p>
      <w:r>
        <w:t>26. Regarding the existence of barriers to market entry resulting from the practices in question, France Télécom argues that, from 1998 to 2002, the market share acquired by its competitors in the market for toll-free and shared-cost special services would be 20% and that by the end of 2002, it would have recorded a loss of 33 million minutes of traffic (corresponding to 378 contract terminations with number portability).</w:t>
      </w:r>
    </w:p>
    <w:p>
      <w:r>
        <w:t>27. However, the 20% market share referred to includes customer transfers to alternative operators but also the acquisition by them of new clients. Furthermore, the announced loss of 33 million minutes of traffic, compared to the total traffic amount of 2,825 million minutes that France Télécom provided for its toll-free and shared-cost services in 2001, that is to say, during the year preceding the alleged loss, represents less than 1.2% of the total traffic generated for the benefit of France Télécom.</w:t>
      </w:r>
    </w:p>
    <w:p>
      <w:r>
        <w:t>28. Moreover, it cannot be excluded that the practices denounced may lead some operators to refrain from offering special services, given the difficulties that accompany the termination of contractual relationships between France Télécom and its clientele.</w:t>
      </w:r>
    </w:p>
    <w:p>
      <w:r>
        <w:t>29. It follows from the above that, in the current state of the proceedings and subject to the substantive investigation, it cannot be excluded that the practices of France Télécom, as described above, may have the object and/or effect of distorting competition with respect to alternative operators and obstructing the opening of the market for special services which, due to the recent effective implementation of portability, should experience a significant boost.</w:t>
      </w:r>
    </w:p>
    <w:p>
      <w:r>
        <w:t>II. - Requests for interim measures</w:t>
      </w:r>
    </w:p>
    <w:p>
      <w:r>
        <w:t>30. Under Article L. 464-1 of the Commercial Code, interim measures "may only be taken if the practice denounced causes serious and immediate harm to the general economy, to that of the affected sector, to the interest of consumers, or to the complaining company." The measures that may be taken in this regard "must remain strictly limited to what is necessary to address the urgency."</w:t>
      </w:r>
    </w:p>
    <w:p>
      <w:r>
        <w:t>31. In support of its request, the company Cegetel states that it is deprived of access to markets representing 27,104 toll-free numbers and 20,122 shared-cost numbers for 5,877,000,000 minutes of communications corresponding to a value of 420,000,000 euros for the year 2001 alone, a market that is also booming. It adds that the practices of France Télécom cause it serious and immediate harm in that they have the object and, in any case, the effect of artificially maintaining barriers to entry in a sector that has been open to competition for several years. Consequently, the company Cegetel requests the Council, based on Article L. 464-1 of the Commercial Code:</w:t>
      </w:r>
    </w:p>
    <w:p>
      <w:r>
        <w:t>• firstly, to order France Télécom to allow any natural or legal person who is a client of France Télécom to continue to use all stocks of brochures, products, goods bearing one or the other of the names, and this regardless of their medium, whatever their nature (product packaging, advertising brochures, vehicle fleets, posters, audiovisual or sound works...) until their exhaustion or renewal;</w:t>
      </w:r>
    </w:p>
    <w:p>
      <w:r>
        <w:t>• secondly, to order France Télécom to cease conditioning the granting of a right of use on the names to the provision of its special services and, consequently, to order it to establish henceforth two separate offers for the provision of special services and the use of the names, within one month from the Council's decision, under transparent, non-discriminatory, and objective conditions. In particular, the conditions proposed by France Télécom must not differ depending on whether the natural or legal person requesting the right of use is or is not a client of France Télécom for its special services;</w:t>
      </w:r>
    </w:p>
    <w:p>
      <w:r>
        <w:t>• thirdly, to state, consequently, that the ongoing "Reception Numbers" contracts must be brought into compliance with this injunction within three months from the pronouncement of the decision.</w:t>
      </w:r>
    </w:p>
    <w:p>
      <w:r>
        <w:t>32. As noted by the ART, "the implementation of portability since July 2001 under satisfactory conditions for toll-free numbers and January 2002 for shared-cost numbers should result in an increase in the degree of competition in this growing market segment that generates significant revenues for operators." These dates thus represent an important moment in the process of opening the market for special services to competition.</w:t>
      </w:r>
    </w:p>
    <w:p>
      <w:r>
        <w:t>33. Such a situation implies, in particular, that the dominant operator, which occupies more than 80% of the market, does not adopt behaviors likely to obstruct the opening of the market and the competition that should take place there.</w:t>
      </w:r>
    </w:p>
    <w:p>
      <w:r>
        <w:t>34. In this context, it is also necessary to take into account the very recent implementation of portability for shared-cost numbers, which occurred in April-May 2002.</w:t>
      </w:r>
    </w:p>
    <w:p>
      <w:r>
        <w:t>35. In such circumstances, practices likely to slow down the opening of the market for toll-free and shared-cost special services not only distort competition between alternative operators but also cause serious and immediate harm to the affected sector, to the companies victimized by the practices, and to consumers.</w:t>
      </w:r>
    </w:p>
    <w:p>
      <w:r>
        <w:t>36. In the observations it submitted on January 21, 2003, France Télécom indicates that the resolutory clause provided for in Articles 3.3 and 14.4.2 of the specific conditions "Reception Numbers" "neither aims nor has the effect of depriving clients of France Télécom's toll-free and shared-cost services, when they decide to implement the portability of their number in favor of a competing operator and terminate their contract for this purpose, of the right to use the trademarks of France Télécom that they acquired on the supports used or manufactured during the execution of the contract and which would still be on the market at the time of termination" and requests the Council to take note of this in its decision.</w:t>
      </w:r>
    </w:p>
    <w:p>
      <w:r>
        <w:t>37. However, the interpretation thus advanced is contradicted by the exchange of correspondence that took place between Cegetel and France Télécom in November and December 2001. To Cegetel, which asked it "to kindly confirm the non-application (of the resolutory clause) so that (France Télécom's clients) who chose the Cegetel offer (via portability) do not find themselves obliged to immediately renew all their communication supports," France Télécom replied that it could not comply with such a request and that it was up to Cegetel "to inform (its) clients of the necessity to timely modify their communication policy" [pieces 14-1 and 14-2 of Cegetel].</w:t>
      </w:r>
    </w:p>
    <w:p>
      <w:r>
        <w:t>38. By letter dated September 20, 2002, France Télécom confirmed its position in the following terms: "To avoid this type of litigation, we ask you to inform your operational staff to specify to their clientele not to use the trademarks of France Télécom, reminding them that such use of our trademarks without our authorization constitutes an infringement" [piece 14-3 of Cegetel].</w:t>
      </w:r>
    </w:p>
    <w:p>
      <w:r>
        <w:t>39. The contradictory readings that have thus been successively given by France Télécom of the contractual provisions in question are likely to cause serious and immediate disruption to companies in the sector, due to the uncertainty they impose on the consequences of a change of operator while retaining the previously assigned number.</w:t>
      </w:r>
    </w:p>
    <w:p>
      <w:r>
        <w:t>40. During the session, France Télécom, reiterating the interpretation of the clause regarding the loss of the right to use its trademarks developed in its written observations, offered to modify its contracts by introducing clarifications to make the reading consistent with this interpretation.</w:t>
      </w:r>
    </w:p>
    <w:p>
      <w:r>
        <w:t>41. However, the distinction that would thus be established by express agreement between the "supports used or manufactured during the execution of the contract and which would still be on the market at the time of termination," which would escape the loss of the right to use the trademarks of France Télécom in the event of number portability in favor of a competing operator, and other supports, presents practical difficulties and future disputes that render its implementation problematic.</w:t>
      </w:r>
    </w:p>
    <w:p>
      <w:r>
        <w:t>42. Furthermore and above all, the communication policy of companies using specific numbers cannot, for obvious reasons of coherence and efficiency, reasonably accommodate a coexistence between supports prior to the date of termination of the subscription contracted with France Télécom, which would continue to mention its trademarks, and supports after this date, which would no longer bear said trademarks.</w:t>
      </w:r>
    </w:p>
    <w:p>
      <w:r>
        <w:t>43. Therefore, pending the Council's decision on the referral, it is necessary to order France Télécom to suspend the application of the clause regarding the loss of the right to use the trademarks in question, in the terms and according to the modalities provided in the following provisions and to inform them, by mail, within two months from the notification of this decision,</w:t>
      </w:r>
    </w:p>
    <w:p>
      <w:r>
        <w:rPr>
          <w:b/>
        </w:rPr>
        <w:t>[Pages 7–7]</w:t>
      </w:r>
    </w:p>
    <w:p>
      <w:r>
        <w:t>all clients likely to benefit from this suspension, attaching a copy of the Council's decision as an annex.</w:t>
      </w:r>
    </w:p>
    <w:p>
      <w:r>
        <w:t>44. On the other hand, there is no need to grant the request of the company Cegetel seeking to have France Télécom ordered, on the one hand, to cease conditioning the granting of a right of use on the contested names to the provision of its special services, and on the other hand, to establish two separate offers for the provision of special services and the use of the names, as these are substantive provisions that exceed the scope of conservatory measures.</w:t>
      </w:r>
    </w:p>
    <w:p>
      <w:r>
        <w:t>DECISION</w:t>
      </w:r>
    </w:p>
    <w:p>
      <w:r>
        <w:t>Article 1 – France Télécom is ordered, as of the notification of this decision and pending a substantive decision, to suspend, for all "Numéros Accueil" contracts signed prior to or concurrently with the date of this decision that would be subject to termination with number portability of the subscriber's specific number to a competing operator, the application of the clause inserted in Articles 3.3 and 14.4.2 of the contract, relating to the loss of the right to use the trademarks of France Télécom and to which the portability mandates attached to the interconnection agreements of France Télécom also refer.</w:t>
      </w:r>
    </w:p>
    <w:p>
      <w:r>
        <w:t>Article 2 – France Télécom is ordered to inform, by mail, within two months of the notification of this decision, all its clients holding "Numéros Accueil" contracts signed prior to or concurrently with the date of this decision of the suspension of the application of the aforementioned clause in the event of termination of the contract with portability of the subscriber's specific number to a competing operator, attaching a copy of the Council's decision as an annex.</w:t>
      </w:r>
    </w:p>
    <w:p>
      <w:r>
        <w:t>Deliberated, on the oral report of Ms. Cramesnil de Laleu, by Ms. Pasturel, Vice-President, presiding over the session, Ms. Mader-Saussaye and Ms. Perrot, Mr. Gauron, Mr. Flichy, and Mr. Ripotot, members.</w:t>
      </w:r>
    </w:p>
    <w:p>
      <w:r>
        <w:t xml:space="preserve">The Secretary of the session, The Vice-President, presiding over the session  </w:t>
        <w:br/>
        <w:t xml:space="preserve">Thierry Poncelet Micheline Pasturel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