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https://www.autoritedelaconcurrence.fr/fr/decision/relative-la-saisine-presentee-par-la-confederation-europeenne-de-defense-des-travailleurs</w:t>
      </w:r>
    </w:p>
    <w:p>
      <w:r>
        <w:t>Pages translated : 2</w:t>
      </w:r>
    </w:p>
    <w:p/>
    <w:p>
      <w:r>
        <w:rPr>
          <w:b/>
        </w:rPr>
        <w:t>[Pages 1–2]</w:t>
      </w:r>
    </w:p>
    <w:p>
      <w:r>
        <w:t xml:space="preserve">FRENCH REPUBLIC  </w:t>
        <w:br/>
        <w:t xml:space="preserve">Decision No. 93-D-20 of June 8, 1993  </w:t>
        <w:br/>
        <w:t xml:space="preserve">concerning the referral submitted by the European Confederation  </w:t>
        <w:br/>
        <w:t xml:space="preserve">for the Defense of Independent Workers (C.E.D.T.I.)  </w:t>
        <w:br/>
        <w:t xml:space="preserve">The Competition Council (plenary session),  </w:t>
        <w:br/>
        <w:t xml:space="preserve">Having regard to the letter registered on March 2, 1992, under number F486, by which the European Confederation for the Defense of Independent Workers (C.E.D.T.I.), through the Dordogne departmental federation, referred to the Competition Council a request directed against the old-age and health insurance funds under State supervision;  </w:t>
        <w:br/>
        <w:t xml:space="preserve">Having regard to Ordinance No. 86-1243 of December 1, 1986, concerning the freedom of prices and competition, as amended, together with Decree No. 86-1309 of December 29, 1986, as amended, adopted for its application;  </w:t>
        <w:br/>
        <w:t xml:space="preserve">Having regard to the Rural Code and the Social Security Code;  </w:t>
        <w:br/>
        <w:t xml:space="preserve">Having regard to the documents in the file;  </w:t>
        <w:br/>
        <w:t xml:space="preserve">The rapporteur, the general rapporteur, the Government commissioner heard, the referring party having been duly summoned;  </w:t>
        <w:br/>
        <w:t xml:space="preserve">Considering that the applicant asserts that 'merchants, craftsmen, and farmers' are subject to a mandatory retirement scheme that prohibits them from insuring the old-age risk other than by affiliation to a fund dependent on the National Autonomous Organization of Industry and Commerce (Organic), the National Autonomous Fund for the Compensation of Old-Age Insurance for Craftsmen (Cancava), or the Agricultural Social Mutuality (M.S.A.), organizations specific to each of these professions;  </w:t>
        <w:br/>
        <w:t>Considering that the C.E.D.T.I. argues that the retirement and health funds that 'have an economic service activity' and benefit from a 'monopoly' commit abuses by setting exorbitant contribution rates and refusing to cover medical expense reimbursements when the member, even if up to date with their contributions, is not for late payment penalties; that, 'concerning insurance companies occupying a dominant position, the French retirement funds are in violation of the rules of the Treaty of Rome', notably its Articles 85 and 86; that it consequently requests the Council to examine its application and grant it permission to refer the matter to the Court of Justice of the European Communities if the aforementioned funds are not in compliance with European legislation;</w:t>
      </w:r>
    </w:p>
    <w:p>
      <w:r>
        <w:t xml:space="preserve">Considering that under Article 19 of the aforementioned ordinance of December 1, 1986: 'The Competition Council may declare, by reasoned decision, the referral inadmissible if it considers that the facts invoked do not fall within the scope of its jurisdiction...'; that under Article 53: 'The rules defined in this ordinance apply to all activities of production, distribution, and services, including those carried out by public entities';  </w:t>
        <w:br/>
        <w:t xml:space="preserve">Considering that the Organic, Cancava, and M.S.A. manage the special regimes of the public service of social security applicable, respectively, to merchants, craftsmen, and members of agricultural professions; that affiliation to these regimes is mandatory and that the contribution rates as well as the benefits they provide are set by legislative and regulatory texts; that, in this context, these organizations carry out an exclusive mission free from any commercial, economic, or speculative activity;  </w:t>
        <w:br/>
        <w:t xml:space="preserve">Considering, consequently, that these organizations cannot be regarded, insofar as only the exercise of their legal public service mission is at stake, as being subject to the competition rules defined by the ordinance of December 1, 1986; that, therefore, the practices alleged by the C.E.D.T.I. do not fall within the jurisdiction of the Competition Council;  </w:t>
        <w:br/>
        <w:t xml:space="preserve">Finally considering that it is solely for the competent jurisdictions to rule on whether the social security funds to which merchants, craftsmen, and members of agricultural professions belong comply with the applicable regulations; that it is also not for the Competition Council to authorize the C.E.D.T.I. to refer the matter to the Court of Justice of the European Communities;  </w:t>
        <w:br/>
        <w:t xml:space="preserve">Considering that it follows from the above that, both on the basis of the ordinance of December 1, 1986 and on that of Articles 85 and 86 of the Treaty establishing the European Economic Community, the referral submitted by the C.E.D.T.I. is inadmissible,  </w:t>
        <w:br/>
        <w:t xml:space="preserve">Decides:  </w:t>
        <w:br/>
        <w:t xml:space="preserve">Sole Article. - The referral registered under number F 486 is declared inadmissible.  </w:t>
        <w:br/>
        <w:t xml:space="preserve">Adopted on the report of Ms. Simone de Mallmann, by Messrs. Barbeau, president, Jenny, vice-president, Bon, Callu, Cortesse, Gicquel, Ms. Hagelsteen, Messrs. Marleix, Pichon, Robin, Sargos, Sloan, Thiolon, and Urbain, members.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