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https://www.autoritedelaconcurrence.fr/fr/decision/relative-la-saisine-presentee-par-la-mutuelle-generale-des-services-publics</w:t>
      </w:r>
    </w:p>
    <w:p>
      <w:r>
        <w:t>Pages translated : 2</w:t>
      </w:r>
    </w:p>
    <w:p/>
    <w:p>
      <w:r>
        <w:rPr>
          <w:b/>
        </w:rPr>
        <w:t>[Pages 1–2]</w:t>
      </w:r>
    </w:p>
    <w:p>
      <w:r>
        <w:t xml:space="preserve">FRENCH REPUBLIC  </w:t>
        <w:br/>
        <w:t xml:space="preserve">Decision No. 93-D-07 of April 28, 1993  </w:t>
        <w:br/>
        <w:t>concerning the referral submitted by the General Mutual of Public Services</w:t>
      </w:r>
    </w:p>
    <w:p>
      <w:r>
        <w:t>The Competition Council (standing committee),</w:t>
      </w:r>
    </w:p>
    <w:p>
      <w:r>
        <w:t>Having regard to the letter registered on September 2, 1991, under number F 432, by which the General Mutual of Public Services (M.G.S.P.) referred to the Competition Council practices presented as anti-competitive and implemented by the Minister in charge of the budget and the Public Service Mutual (M.F.P.);</w:t>
      </w:r>
    </w:p>
    <w:p>
      <w:r>
        <w:t>Having regard to Ordinance No. 86-1243 of December 1, 1986, relating to the freedom of prices and competition, as amended, together with Decree No. 86-1309 of December 29, 1986, as amended, adopted for its application;</w:t>
      </w:r>
    </w:p>
    <w:p>
      <w:r>
        <w:t>Having regard to the Social Security Code and the Mutuality Code;</w:t>
      </w:r>
    </w:p>
    <w:p>
      <w:r>
        <w:t>Having regard to the documents in the file;</w:t>
      </w:r>
    </w:p>
    <w:p>
      <w:r>
        <w:t>The rapporteur, the general rapporteur, the Government Commissioner, and the representative of the M.G.S.P. heard;</w:t>
      </w:r>
    </w:p>
    <w:p>
      <w:r>
        <w:t>Considering that the M.G.S.P. first denounces to the Competition Council, as contrary to Articles 7 and 8 of the ordinance of December 1, 1986, the fact that the Minister in charge of the budget refuses this mutual the benefit of measures such as subsidies, exemptions from service or schedule facilities for its agents, or even the provision of premises;</w:t>
      </w:r>
    </w:p>
    <w:p>
      <w:r>
        <w:t>Considering that the M.G.S.P. secondly denounces the practices implemented by the M.F.P. which, 'through the union pact signed between all sectoral mutuals, shares the Public Service market preventing, except for rare exceptions, pluralistic expression';</w:t>
      </w:r>
    </w:p>
    <w:p>
      <w:r>
        <w:t>Considering that under Article 19 of the ordinance of December 1, 1986, 'the Competition Council may declare the referral inadmissible if it considers that the facts invoked do not fall within its jurisdiction or are not supported by sufficiently probative elements';</w:t>
      </w:r>
    </w:p>
    <w:p>
      <w:r>
        <w:t xml:space="preserve">On the measures taken by the Minister in charge of the budget:  </w:t>
        <w:br/>
        <w:t>Considering that the social coverage of civil servants is governed by Article L. 712-6 of the Social Security Code which provides in particular that the distribution of mandatory benefits of the civil servants' health insurance scheme must be carried out through mutual societies;</w:t>
      </w:r>
    </w:p>
    <w:p>
      <w:r>
        <w:t>Considering that Article R. 523-2 of the Mutuality Code provides that: 'the State may grant subsidies to mutuals constituted among civil servants, agents, and employees of the State and national public establishments intended in particular to develop their social action and, under the conditions set by order of the Minister in charge of mutuality and the Minister in charge of finances, to participate in the coverage of social risks insured by the mutuals';</w:t>
      </w:r>
    </w:p>
    <w:p>
      <w:r>
        <w:t>Considering that Article 53 of the ordinance of December 1, 1986 provides that 'the rules defined in this ordinance apply to all activities of production, distribution, and services, including those carried out by public persons';</w:t>
      </w:r>
    </w:p>
    <w:p>
      <w:r>
        <w:t>Considering that by granting, in application of Article R. 523-2 of the Mutuality Code, subsidies, schedule facilities to its agents, the provision of agents and premises, the Minister in charge of the budget is not engaging in an activity of production, distribution, or services; that consequently it does not fall within the Council's jurisdiction to assess, in light of the provisions of Title III of the ordinance of December 1, 1986, the conditions under which these subsidies are allocated, this assessment falling, where appropriate, to the competent jurisdictions;</w:t>
      </w:r>
    </w:p>
    <w:p>
      <w:r>
        <w:t xml:space="preserve">On the practices implemented by the M.F.P.:  </w:t>
        <w:br/>
        <w:t>Considering that the facts invoked by the M.G.S.P. are not supported by sufficiently probative elements; that, in fact, the documents it produces in support of its referral do not allow for the detection of the implementation of anti-competitive practices; that through these documents the M.A.I., mutual of the General Directorate of Taxes adhering to the M.F.P., merely encourages its local sections to be vigilant in the face of the new competition exercised by the M.G.S.P.; that the provisions of the 'union pact', in particular those of its annex 2, do not violate the aforementioned provisions of the ordinance of December 1, 1986;</w:t>
      </w:r>
    </w:p>
    <w:p>
      <w:r>
        <w:t>Considering that it follows from the above that the referral of the M.G.S.P. is inadmissible,</w:t>
      </w:r>
    </w:p>
    <w:p>
      <w:r>
        <w:t xml:space="preserve">Decides:  </w:t>
        <w:br/>
        <w:t xml:space="preserve">Sole Article. - The referral registered under number F 432 is declared inadmissible.  </w:t>
        <w:br/>
        <w:t xml:space="preserve">Adopted, on the oral report of Ms. Marie-Christine Daubigney, by Messrs. Barbeau, president, Jenny, vice-president, and Cortesse, member, designated in replacement of Mr. Béteille.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