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https://www.autoritedelaconcurrence.fr/fr/decision/relative-la-saisine-presentee-par-la-ville-de-marseille-lencontre-de-pratiques-mises-en</w:t>
      </w:r>
    </w:p>
    <w:p>
      <w:r>
        <w:t>Pages translated : 4</w:t>
      </w:r>
    </w:p>
    <w:p/>
    <w:p>
      <w:r>
        <w:rPr>
          <w:b/>
        </w:rPr>
        <w:t>[Pages 1–3]</w:t>
      </w:r>
    </w:p>
    <w:p>
      <w:r>
        <w:t xml:space="preserve">COMPETITION COUNCIL  </w:t>
        <w:br/>
        <w:t xml:space="preserve">Decision No. 01-D-28 of May 22, 2001  </w:t>
        <w:br/>
        <w:t xml:space="preserve">regarding the referral made by the city of Marseille  </w:t>
        <w:br/>
        <w:t xml:space="preserve">against practices implemented during a call for tenders  </w:t>
        <w:br/>
        <w:t xml:space="preserve">concerning the renewal of contracts for construction,  </w:t>
        <w:br/>
        <w:t>maintenance, and major repairs of public roads</w:t>
      </w:r>
    </w:p>
    <w:p>
      <w:r>
        <w:t xml:space="preserve">The Competition Council (Section IV),  </w:t>
        <w:br/>
        <w:t xml:space="preserve">Having regard to the letter registered on October 27, 1997, under number F 987, by which the city of Marseille referred to the Competition Council practices implemented during a call for tenders concerning the renewal of contracts for construction, maintenance, and major repairs of public roads;  </w:t>
        <w:br/>
        <w:t xml:space="preserve">Having regard to Book IV of the Commercial Code and Decree No. 86-1309 of December 29, 1986, setting the conditions for the application of Ordinance No. 86-1243 of December 1, 1986, concerning price and competition freedom;  </w:t>
        <w:br/>
        <w:t xml:space="preserve">Having regard to the documents in the file;  </w:t>
        <w:br/>
        <w:t xml:space="preserve">The rapporteur, the general rapporteur, and the Government Commissioner heard during the session of March 27, 2001, the city of Marseille having been regularly summoned;  </w:t>
        <w:br/>
        <w:t>Adopts the decision based on the findings (I) and the reasons (II) set out below:</w:t>
      </w:r>
    </w:p>
    <w:p>
      <w:r>
        <w:t xml:space="preserve">I. - Findings  </w:t>
        <w:br/>
        <w:t xml:space="preserve">The city of Marseille launched, on May 16, 1997, an open call for tenders concerning the execution of construction, maintenance, and major repairs of public roads throughout the territory of the municipality. The works subject to contracts with purchase orders were divided into ten distinct lots according to the nature of the services and their geographical distribution, namely five lots A for road works and five lots B for hydrocarbon coatings.  </w:t>
        <w:br/>
        <w:t xml:space="preserve">Given the gap between the companies' offers and the administration's estimates (ranging, depending on the lots, from +9.8% to +65.6%), the city of Marseille's procurement commission declared the call for tenders unsuccessful on October 2, 1997. Two negotiated procedures were subsequently launched, on October 9, 1997, and January 23, 1998, each concerning five of the ten lots involved.  </w:t>
        <w:br/>
        <w:t xml:space="preserve">Believing that the bidding companies had colluded for the distribution of the lots, the city of Marseille's procurement commission, during its session on October 2, 1997, invited the mayor to consider referring the matter to the Competition Council. By letter dated October 22, 1997, he referred the matter to the Council in application of Articles 5 and 11 of the Ordinance of December 1, 1986.  </w:t>
        <w:br/>
        <w:t xml:space="preserve">The Directorate General for Competition, Consumer Affairs, and Fraud Control, which was represented during the session on October 2, 1997, invited the city to transmit to it the price schedules established by the companies, as well as the estimated quantitative details allowing for the assessment of the general level of the offers.  </w:t>
        <w:br/>
        <w:t xml:space="preserve">By a note dated April 6, 1999, the Minister of Economy, Finance, and Industry requested the Director General for Competition, Consumer Affairs, and Fraud Control to implement an investigation concerning the procedures for awarding these contracts (initial call for tenders and negotiated procedures), "if necessary using the powers of Article 48 of Ordinance No. 86-1243 of December 1, 1986."  </w:t>
        <w:br/>
        <w:t xml:space="preserve">By order of May 7, 1999, the president of the Marseille High Court authorized the regional director of competition, consumer affairs, and fraud control, head of the interregional investigation brigade of Marseille, to carry out or have carried out all visits and to seize all documents necessary to provide evidence of the practices implemented during the awarding of these contracts, in the premises of the companies Société générale de travaux publics, Jean Lefebvre Méditerranée (Provence agency), Mino, Colas Méditerranée, and Chagnaud in Marseille, SCREG Sud-Est and Gerland Provence in Vitrolles, SOGEV in Aix-en-Provence, SACER Sud-Est in Saint-Victoret, and Société provençale d’espaces libres in Gardanne. The president of the Aix-en-Provence High Court, to whom this order gave a commission rogatory to oversee the visits and seizures carried out within the jurisdiction of his court, authorized these operations in the companies SOGEV, SCREG Sud-Est, SACER Sud-Est, Gerland Provence, and Société provençale d’espaces libres by order of May 12, 1999.  </w:t>
        <w:br/>
        <w:t xml:space="preserve">The visits and seizures were carried out on May 18, 1999. They led, in particular, to the seizure of the following documents: in the premises of the companies Mino and Colas, two undated cards indicating, in the same handwriting, the maximum and minimum amounts of the different lots; in the premises of the company Mino, a history of the lot allocations.  </w:t>
        <w:br/>
        <w:t xml:space="preserve">By letter dated July 25, 2000, the president of the Competition Council was informed of the outcome of the investigations initiated by the minister. Considering that these investigations did not provide direct and formal evidence of an agreement between the bidding companies for the call for tenders, nor established a set of consistent indicators, the Director General for Competition, Consumer Affairs, and Fraud Control informed the Council that he did not intend to refer the matter.  </w:t>
        <w:br/>
        <w:t>In light of these various elements, the rapporteur designated to instruct the case drafted a proposal for dismissal, which was notified to the referring party as well as to the Government Commissioner.</w:t>
      </w:r>
    </w:p>
    <w:p>
      <w:r>
        <w:t xml:space="preserve">II. - Based on the findings above, the Council,  </w:t>
        <w:br/>
        <w:t>Considering that the examination of the companies' offers reveals that, in each category of lots, certain companies presented variable offers from one lot to another, while the services were the same;</w:t>
      </w:r>
    </w:p>
    <w:p>
      <w:r>
        <w:t xml:space="preserve">But considering that the director of the Provence agency of the company Jean Lefebvre Méditerranée indicated, during his hearing, that "the differentiation applied to the different lots may stem from the size of the sites, the supply, and the time required more than from the distance to supply the site"; that he added that in urban areas, work is generally more difficult than in peri-urban areas, which leads to differences in cost prices, with some costs being higher in city centers than outside; that, generally speaking, the lowest bids came from companies that, either, as was the case with the company Colas Méditerranée, had an agency in the territory of the considered lot, or had previously worked in nearby areas; that these considerations suggest that they had an advantage due to knowledge of the locations or proximity to certain facilities;  </w:t>
        <w:br/>
        <w:t xml:space="preserve">Considering, furthermore, that, regarding lots B, it was not inconsistent for companies to choose to present offers with the same percentage deviation from the administrative estimate, since the administration itself had made the same estimate for each of the five lots;  </w:t>
        <w:br/>
        <w:t xml:space="preserve">Considering that concerning the cards seized in the premises of the companies Mino and Colas indicating, in the same handwriting, the maximum and minimum amounts of the different lots, Mr. Willocq, manager of the company Mino, stated: "This document [...] is a card established by myself. The handwriting on the card at the bottom of the page is my own"; that Mr. Perez, center manager of the company Colas, indicated: "This document was communicated to me very recently (early 1999) by a colleague during a personal reflection on the geography of the lots"; that the cards in question being undated, no element allows to refute this statement; that these documents, which cannot therefore be excluded from having been prepared and transmitted after the awarding of the contracts, do not allow to characterize an agreement between the companies Mino and Colas;  </w:t>
        <w:br/>
        <w:t xml:space="preserve">Considering, finally, that a history of lot allocations in 1990, 1994, and 1998, in the form of geographical maps representing the districts of Marseille, was seized in the premises of the company Mino; that it shows that these lots do not cover the same districts from one period to another; that these modifications make it difficult to characterize an automatic renewal of the contracts; that indeed, while some companies retain contracts including districts for which they had already been awarded (thus Colas in the 15th district, Gerland in the 14th, Mino in the downtown districts), it is not possible to deduce a collusion, especially since objective elements justify the presence of certain companies in specific sectors (thus the company Colas obtained the contract including the 15th district where one of its agencies is located);  </w:t>
        <w:br/>
        <w:t xml:space="preserve">Considering, consequently, that the elements collected during the investigation do not constitute a set of presumptions sufficiently serious, precise, and consistent to provide evidence of an agreement; that it is necessary to apply the provisions of Article L. 464-6 of the Commercial Code,  </w:t>
        <w:br/>
        <w:t xml:space="preserve">Decides:  </w:t>
        <w:br/>
        <w:t>Sole Article - There is no need to continue the procedure.</w:t>
      </w:r>
    </w:p>
    <w:p>
      <w:r>
        <w:rPr>
          <w:b/>
        </w:rPr>
        <w:t>[Pages 4–4]</w:t>
      </w:r>
    </w:p>
    <w:p>
      <w:r>
        <w:t>Deliberated, on the report of Ms. Servella-Huertas, by Ms. Pasturel, Vice-President, presiding over the session, Ms. Perrot and Ms. Mader-Saussaye and Messrs. Nasse, Piot, and Ripotot, members. The secretary of the session, The Vice-President, presiding over the session, Françoise Hazaël-Massieux Micheline Pasturel ©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