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https://www.autoritedelaconcurrence.fr/fr/decision/relative-la-saisine-presentee-par-m-et-mme-montariol-et-le-syndicat-des-pharmaciens-du</w:t>
      </w:r>
    </w:p>
    <w:p>
      <w:r>
        <w:t>Pages translated : 2</w:t>
      </w:r>
    </w:p>
    <w:p/>
    <w:p>
      <w:r>
        <w:rPr>
          <w:b/>
        </w:rPr>
        <w:t>[Pages 1–2]</w:t>
      </w:r>
    </w:p>
    <w:p>
      <w:r>
        <w:t xml:space="preserve">FRENCH REPUBLIC  </w:t>
        <w:br/>
        <w:t xml:space="preserve">Decision No. 93-D-03 of April 27, 1993  </w:t>
        <w:br/>
        <w:t xml:space="preserve">concerning the referral submitted by Mr. and Mrs. Montariol and  </w:t>
        <w:br/>
        <w:t xml:space="preserve">the pharmacists' union of Gard  </w:t>
        <w:br/>
        <w:t xml:space="preserve">The Competition Council (section III),  </w:t>
        <w:br/>
        <w:t xml:space="preserve">Having regard to the letter registered on August 28, 1992, under number F 532, by which Mr. and Mrs. Montariol and the pharmacists' union of Gard referred to the Competition Council practices of the company Confraternelle d'exploitation et de répartition pharmaceutique Rhin-Rhône-Méditerranée (C.E.R.P. Rhin-Rhône-Méditerranée) which they consider anti-competitive;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Public Health Code;  </w:t>
        <w:br/>
        <w:t xml:space="preserve">Having regard to Law No. 93-121 of January 27, 1993, containing various social measures, and in particular its Article 33;  </w:t>
        <w:br/>
        <w:t xml:space="preserve">The rapporteur, the general rapporteur, the Government commissioner having been heard and the referring parties having been regularly summoned;  </w:t>
        <w:br/>
        <w:t xml:space="preserve">Considering that Mr. and Mrs. Montariol, who operate a pharmacy in Nîmes, and the pharmacists' union of Gard have referred to the Competition Council the practices of the company C.E.R.P. Rhin-Rhône-Méditerranée, which, by refusing Mr. and Mrs. Montariol the communication of its pricing schedules and sales conditions and by not granting them a discount amount comparable to that offered to other pharmacies in the department, would, on the one hand, have abused its dominant position and, on the other hand, violated the provisions of Article 7 of the Ordinance of December 1, 1986;  </w:t>
        <w:br/>
        <w:t xml:space="preserve">Considering that under Article 19 of the aforementioned ordinance, "the Competition Council may declare, by reasoned decision, the referral inadmissible if it considers that the facts invoked do not fall within its jurisdiction or are not supported by sufficiently probative elements";  </w:t>
        <w:br/>
        <w:t>Considering that while Mr. and Mrs. Montariol argue that the company C.E.R.P. Rhin-Rhône-Méditerranée, by granting them only discounts limited to 1 or 1.5 percent while granting discounts between 3 and 6 percent to other pharmacies in the department, has engaged in commercial practices "contrary to the principle of the Ordinance of December 1, 1986," these can only fall within the Council's jurisdiction to the extent that they relate to a concerted action of an anti-competitive nature or to the abusive exploitation of a dominant position or an economic dependency;</w:t>
      </w:r>
    </w:p>
    <w:p>
      <w:r>
        <w:t xml:space="preserve">Considering, first, that Mr. and Mrs. Montariol as well as the pharmacists' union of Gard provide no evidence to establish that the practices denounced would result from a concerted action or an agreement likely to limit the free exercise of competition within the meaning of Article 7 of the aforementioned ordinance;  </w:t>
        <w:br/>
        <w:t xml:space="preserve">Considering, secondly, that the examination of the case files reveals neither that the company C.E.R.P. Rhin-Rhône-Méditerranée would have a dominant position in the distribution of pharmaceutical products, especially since, in the geographical area concerned, this company operates alongside three other wholesale distributors representing respectively 43 percent, 13 percent, and 11 percent of sales, nor that Mr. and Mrs. Montariol would be in a state of economic dependency with respect to this company;  </w:t>
        <w:br/>
        <w:t xml:space="preserve">Considering that it follows from the above that the referral submitted by Mr. and Mrs. Montariol and the pharmacists' union of Gard is inadmissible;  </w:t>
        <w:br/>
        <w:t xml:space="preserve">Considering, finally, that the Competition Council does not have jurisdiction to rule on a claim for damages, nor on the allocation of damages and interest, nor on a request made under Article 700 of the new Code of Civil Procedure,  </w:t>
        <w:br/>
        <w:t xml:space="preserve">Decides:  </w:t>
        <w:br/>
        <w:t xml:space="preserve">Sole Article. - The referral registered under number F 532 is declared inadmissible.  </w:t>
        <w:br/>
        <w:t xml:space="preserve">Adopted on the oral report of Ms. Marie Picard by Mr. Barbeau, president, Mr. Jenny, vice-president, and Mr. Blaise, Mr. Robin, Mr. Sloan, and Mr. Urbain, members.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