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https://www.autoritedelaconcurrence.fr/fr/decision/relative-la-situation-de-la-concurrence-dans-divers-marches-passes-par-les-communes-de</w:t>
      </w:r>
    </w:p>
    <w:p>
      <w:r>
        <w:t>Pages translated : 2</w:t>
      </w:r>
    </w:p>
    <w:p/>
    <w:p>
      <w:r>
        <w:rPr>
          <w:b/>
        </w:rPr>
        <w:t>[Pages 1–2]</w:t>
      </w:r>
    </w:p>
    <w:p>
      <w:r>
        <w:t xml:space="preserve">FRENCH REPUBLIC  </w:t>
        <w:br/>
        <w:t xml:space="preserve">Decision No. 91-D-02 of January 8, 1991  </w:t>
        <w:br/>
        <w:t xml:space="preserve">concerning the competition situation in various markets contracted by the municipalities of Saint-Raphaël and Puget-sur-Argens  </w:t>
        <w:br/>
        <w:t xml:space="preserve">The Competition Council,  </w:t>
        <w:br/>
        <w:t xml:space="preserve">Having regard to the letter registered on December 29, 1988, under number F 216, by which the Minister of State, Minister of Economy, Finance, and Budget, referred to the Competition Council a file concerning agreements between companies in connection with various public contracts awarded by the municipalities of Saint-Raphaël and Puget-sur-Argens;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observations of the Government Commissioner;  </w:t>
        <w:br/>
        <w:t xml:space="preserve">Having regard to the other documents in the file;  </w:t>
        <w:br/>
        <w:t xml:space="preserve">The rapporteur, the general rapporteur, and the Government Commissioner heard;  </w:t>
        <w:br/>
        <w:t xml:space="preserve">Considering that, ruling on the appeal filed by the company Delli Zotti Entreprises et carrières, the Court of Cassation, by a judgment No. 1584-D of December 19, 1989, annulled the order of March 3, 1988, by which the president of the High Court of Draguignan had authorized visits and seizures in the premises of the companies Delli Zotti Entreprises et carrières, Raphaéloise de bâtiment et travaux publics, Colas Midi Méditerranée, Société varoise de travaux publics, Bâtiments et carrières; that this annulment, due to the indivisible nature of the decision that is the subject of it, extends not only to the visits and seizures carried out in the premises of the company that filed the appeal but also to those that took place in the premises of the other companies designated by the order;  </w:t>
        <w:br/>
        <w:t>Considering, therefore, that the irregularly seized documents cannot be retained as evidence of the consultations noted in the administrative investigation report and that the documents seized at the headquarters of the aforementioned companies must be separated; that the minutes of hearings and the supplementary documents communicated during the investigation, as they refer directly or indirectly to the content of the irregularly seized documents, cannot be used any further; that thus the minutes of hearings of the representatives of the visited companies, established after the seizures, must also be separated;</w:t>
      </w:r>
    </w:p>
    <w:p>
      <w:r>
        <w:t xml:space="preserve">Considering that the only documents remaining in the file do not contain elements allowing the proof of consultations to be established; that it is therefore appropriate to apply the provisions of Article 20 of the aforementioned ordinance of December 1, 1986,  </w:t>
        <w:br/>
        <w:t xml:space="preserve">Decides:  </w:t>
        <w:br/>
        <w:t xml:space="preserve">Sole Article. - There is no need to continue the procedure.  </w:t>
        <w:br/>
        <w:t xml:space="preserve">Deliberated in permanent commission on the report of Mr. A.P. Weber, in its session of January 8, 1991, where were present:  </w:t>
        <w:br/>
        <w:t xml:space="preserve">Mr. Laurent, president;  </w:t>
        <w:br/>
        <w:t xml:space="preserve">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