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https://www.autoritedelaconcurrence.fr/fr/decision/relative-la-situation-de-la-concurrence-dans-le-secteur-de-la-desourisation-et-de-la</w:t>
      </w:r>
    </w:p>
    <w:p>
      <w:r>
        <w:t>Pages translated : 4</w:t>
      </w:r>
    </w:p>
    <w:p/>
    <w:p>
      <w:r>
        <w:rPr>
          <w:b/>
        </w:rPr>
        <w:t>[Pages 1–3]</w:t>
      </w:r>
    </w:p>
    <w:p>
      <w:r>
        <w:t>COMPETITION COUNCIL</w:t>
        <w:br/>
        <w:t>Decision No. 00-D-55 of February 8, 2001</w:t>
        <w:br/>
        <w:t>regarding the state of competition in the sector of rodent control</w:t>
        <w:br/>
        <w:t>and rat extermination in the department of Orne</w:t>
        <w:br/>
        <w:t>The Competition Council (permanent commission),</w:t>
        <w:br/>
        <w:t>Having regard to the letter dated December 17, 1997, registered under number F 1000, by which the Minister of</w:t>
        <w:br/>
        <w:t>Economy, Finance and Industry referred to the Competition Council practices implemented</w:t>
        <w:br/>
        <w:t>in the sector of rodent control and rat extermination in the department of Orne;</w:t>
        <w:br/>
        <w:t>Having regard to Book IV of the Commercial Code and Decree No. 86-1309 of December 29, 1986, as amended, taken for</w:t>
        <w:br/>
        <w:t>the application of Ordinance No. 86-1243 of December 1, 1986;</w:t>
        <w:br/>
        <w:t>Having regard to the observations presented by the Government Commissioner;</w:t>
        <w:br/>
        <w:t>Having regard to the other documents in the file;</w:t>
        <w:br/>
        <w:t>The rapporteur, the general rapporteur, and the Government Commissioner heard during the session of</w:t>
        <w:br/>
        <w:t>October 10, 2000;</w:t>
        <w:br/>
        <w:t>Adopts the decision based on the findings (I) and the reasons (II) set forth below;</w:t>
        <w:br/>
        <w:t>I. - Findings</w:t>
        <w:br/>
        <w:t>A. - Reminder of the facts</w:t>
        <w:br/>
        <w:t>The Departmental Federation of Defense Groups Against Crop Enemies of the department of Orne</w:t>
        <w:br/>
        <w:t>(hereinafter referred to as the federation), which is governed by the amended law of March 21, 1884, relating to the creation of</w:t>
        <w:br/>
        <w:t>professional unions, is a private law institution, responsible for organizing the protection of plants by</w:t>
        <w:br/>
        <w:t>fighting against harmful animals; it brings together 342 municipalities out of the 507 in the department of</w:t>
        <w:br/>
        <w:t>Orne; it decided, at the request of farmers, to create, on January 1, 1995, a rat extermination service.</w:t>
        <w:br/>
        <w:t>It emerges from various statements and documents submitted to the file that this service made use of facilities provided by the</w:t>
        <w:br/>
        <w:t>chamber of agriculture: office premises, warehouses, telephone line, among others, and that it shared these material resources and personnel with the GDSCO association (hereinafter the association), which is</w:t>
        <w:br/>
        <w:t>an association under the law of July 1, 1901, tasked with a public service mission to combat</w:t>
        <w:br/>
        <w:t>diseases of domestic animals, for which it holds the monopoly on the issuance of health certificates. The latter maintained the accounting of the service.</w:t>
      </w:r>
    </w:p>
    <w:p>
      <w:r>
        <w:t>Subsequently, upon being approached by companies operating in the same sector, the departmental directorate of</w:t>
        <w:br/>
        <w:t>competition, consumption, and fraud prevention of Orne, following an investigation,</w:t>
        <w:br/>
        <w:t>requested, by a letter dated January 15, 1996, that this activity be ceased, as it was deemed by this</w:t>
        <w:br/>
        <w:t>administration to potentially harm competition.</w:t>
        <w:br/>
        <w:t>The cessation of the activity, in January 1996, of the federation's rat extermination service resulted in a deficit of 43,803.30 francs. This deficit was assigned to the EURL GDS "Services 61" (hereinafter the EURL),</w:t>
        <w:br/>
        <w:t>a sole proprietorship created by the former head of the federation's rat extermination service, which,</w:t>
        <w:br/>
        <w:t>from that date, took over the service's activities.</w:t>
        <w:br/>
        <w:t>The companies Lecorps and Regnier, feeling threatened by the operating conditions of</w:t>
        <w:br/>
        <w:t>the sole proprietorship, which allegedly enjoyed the same advantages as the service created by the federation, referred the matter to the DGCCRF, which conducted an investigation that led to the referral to the</w:t>
        <w:br/>
        <w:t>Competition Council.</w:t>
        <w:br/>
        <w:t>B. – The practices of the federation's rat extermination service</w:t>
        <w:br/>
        <w:t>The investigation allowed for a comparison between the prices charged by Regnier Services and</w:t>
        <w:br/>
        <w:t>those of the federation's rat extermination service. It results that the latter presented quotes that were, on average, 40.95% lower than those of Regnier.</w:t>
        <w:br/>
        <w:t>During its period of activity, the federation's rat extermination service concluded 82 contracts in the</w:t>
        <w:br/>
        <w:t>department.</w:t>
        <w:br/>
        <w:t>Furthermore, it was observed that there were cross services between the federation and the association, particularly regarding the invoices issued under the dual letterhead of these organizations, with the association managing the</w:t>
        <w:br/>
        <w:t>current operations of the entire entity constituted by the federation and itself, while the federation's rat extermination service provided the technical services. These organizations, which enjoy great notoriety, also sent proposals for rat extermination contracts to the 342 member municipalities, distributed advertising flyers, and displayed advertisements; these various expenses do not appear in the calculation</w:t>
        <w:br/>
        <w:t>of the prices charged by the rat extermination service;</w:t>
        <w:br/>
        <w:t>C. – The practices of the EURL</w:t>
        <w:br/>
        <w:t>It also emerges from the investigations conducted by the investigator that the previously mentioned advertisements and those of the EURL are identical, except for the qualifiers used for rodent control, which is "original" in the case of the federation and "effective" in the case of the EURL.</w:t>
        <w:br/>
        <w:t>The price level charged by the EURL was based on an hourly rate of 360 francs, including the cost of the</w:t>
        <w:br/>
        <w:t>product supplied.</w:t>
        <w:br/>
        <w:t>Mr. Lecorps, manager of the company of the same name, believes that the presence of the EURL in this sector has harmed him by causing him to lose certain clients.</w:t>
      </w:r>
    </w:p>
    <w:p>
      <w:r>
        <w:t>The investigation notes, however, on this point, that only two former clients of Lecorps Services have</w:t>
        <w:br/>
        <w:t>entered into a contract with EURL GDS "Services 61". It was, on the other hand, observed that there were price differences in favor of the EURL which may have motivated this change (61.42% in the first case, 21.45% in the second).</w:t>
        <w:br/>
        <w:t>Mr. Lecorps further states that the stagnation of his turnover is attributable to the advertising methods implemented by the EURL and to the fact that, being subsidized, this company can offer prices lower than those of companies in a completely private situation.</w:t>
        <w:br/>
        <w:t>Mr. Regnier, another operator in this sector, also emphasizes that he cannot adjust his prices to those practiced by the EURL without endangering his business. He also criticizes the fact that the advertising is largely ensured by the brochures made available to residents by the municipalities, officializing and reinforcing the notoriety of the latter.</w:t>
        <w:br/>
        <w:t>However, the annual turnover achieved by the rat extermination service, then by the EURL, remained modest, varying from 90,000 to 120,000 francs. According to the investigation report, nine other companies were active in Orne in the rat extermination market, some of which achieved much higher turnovers, notably the Lecorps company. Finally, the federation linked to the association, then the EURL, only developed in certain customer segments, particularly that of farmers, while few industrialists or individuals are among their clients.</w:t>
        <w:br/>
        <w:t>Based on these findings, a proposal for non-suit was notified.</w:t>
        <w:br/>
        <w:t>II - Based on the preceding findings, the Council,</w:t>
        <w:br/>
        <w:t>Considering, first, that the Departmental Federation of Defense Groups Against Crop Enemies of Orne, an association under the law of 1901, to which all defense groups against crop enemies in the department are mandatorily affiliated, and whose main mission is to coordinate the activities of these groups, has a production chain for baits based on bromadiolone intended for the destruction of muskrats and coypu;</w:t>
        <w:br/>
        <w:t>Considering, secondly, that pursuant to Article 1 of the Minister of Agriculture's decree of July 12, 1979, concerning the sale and use of bromadiolone to combat coypu and the field vole, bromadiolone, intended for the destruction of these animals, can only be issued to defense groups against crop enemies approved by the prefects and can only be used by these groups;</w:t>
        <w:br/>
        <w:t>Considering, thirdly, that pursuant to Article 2 of this text, the destruction of rodents can only be carried out "through collective efforts" during the "periods and according to the modalities" set by prefectural orders;</w:t>
        <w:br/>
        <w:t>Considering, fourthly, that the Federation sells to its members (the groups) and, in areas where there are no groups, to approved technicians, baits containing bromadiolone at cost price, without profit margin; it is also not subject to VAT;</w:t>
      </w:r>
    </w:p>
    <w:p>
      <w:r>
        <w:rPr>
          <w:b/>
        </w:rPr>
        <w:t>[Pages 4–4]</w:t>
      </w:r>
    </w:p>
    <w:p>
      <w:r>
        <w:t xml:space="preserve">Considering, therefore, that the activity of purchasing bromadiolone, manufacturing, and providing baits for the destruction of coypu and terrestrial voles, which it carries out by virtue of the exclusivity granted to its members for the execution of the collective interest missions entrusted to it and which do not have any profit-making purpose, cannot be regarded as being exercised within the framework of a monopoly in a market within the meaning of competition law;  </w:t>
        <w:br/>
        <w:t xml:space="preserve">Considering that the GDSCO fulfills missions of collective utility solely for its members, that, for the accomplishment of these missions, its resources come almost entirely from contributions or fees from its members and from public subsidies; that, under these conditions, it cannot be argued that it holds a monopoly in a market within the meaning of competition law;  </w:t>
        <w:br/>
        <w:t xml:space="preserve">Considering that it follows from the above that neither the FDGPC of Orne nor the GDSCO holds a dominant position in a market within the meaning of Book IV of the Commercial Code; that, therefore, the practices they have implemented themselves, or through the GDS "Service 61", in the market for rat extermination and pest control cannot be targeted by Article L. 420-2 of the Commercial Code,  </w:t>
        <w:br/>
        <w:t xml:space="preserve">DECIDES:  </w:t>
        <w:br/>
        <w:t xml:space="preserve">Single Article: There is no need to continue the proceedings.  </w:t>
        <w:br/>
        <w:t xml:space="preserve">Deliberated, on the report of Mr. Dewailly, by Mrs. Hagelsteen, president, Mr. Cortesse, vice-president, and Mr. Robin, member.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