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https://www.autoritedelaconcurrence.fr/fr/decision/relative-la-situation-de-la-concurrence-dans-le-secteur-de-la-distribution-des-appareils</w:t>
      </w:r>
    </w:p>
    <w:p>
      <w:r>
        <w:t>Pages translated : 10</w:t>
      </w:r>
    </w:p>
    <w:p/>
    <w:p>
      <w:r>
        <w:rPr>
          <w:b/>
        </w:rPr>
        <w:t>[Pages 1–3]</w:t>
      </w:r>
    </w:p>
    <w:p>
      <w:r>
        <w:t>COMPETITION COUNCIL</w:t>
        <w:br/>
        <w:t>Decision 01-D-62 of October 4, 2001</w:t>
        <w:br/>
        <w:t>regarding the state of competition</w:t>
        <w:br/>
        <w:t>in the medical device distribution sector</w:t>
        <w:br/>
        <w:t>The Competition Council (permanent commission),</w:t>
        <w:br/>
        <w:t>Having regard to the letter registered on December 3, 1991 under No. F 457, by which the Union of Wheelchair and Medical Device Distributors (USDIFAMED) referred to the Competition Council practices implemented by certain primary health insurance funds;</w:t>
        <w:br/>
        <w:t>Having regard to Book IV of the Commercial Code and Decree No. 86-1309 of December 29, 1986 as amended, setting the conditions for the application of Ordinance No. 86-1243 of December 1, 1986;</w:t>
        <w:br/>
        <w:t>Having regard to the observations presented by the Government Commissioner;</w:t>
        <w:br/>
        <w:t>Having regard to the other documents in the file;</w:t>
        <w:br/>
        <w:t>The rapporteur, the deputy general rapporteur, and the Government Commissioner heard during the session of July 18, 2001, with USDIFAMED having been duly summoned;</w:t>
        <w:br/>
        <w:t>Adopts the decision based on the findings (I) and the reasons (II) set forth below:</w:t>
        <w:br/>
        <w:t>I. - Findings</w:t>
        <w:br/>
        <w:t>A. - The sector</w:t>
        <w:br/>
        <w:t>Devices and equipment intended for the ambulation of disabled persons consist, on the one hand, of devices referred to as "small equipment" (orthopedic shoes, cervical collars) or "large equipment" (orthoses, prostheses, orthopedic shoes), and on the other hand, of materials providing technical aids, such as wheelchairs, canes, walkers. A number of materials and devices are used to keep patients at home: these include equipment such as beds, mattresses, patient lifts, respiratory assistance devices, devices intended notably for artificial nutrition and infusion, and finally consumable products.</w:t>
        <w:br/>
        <w:t>Among these devices and materials, a number are covered by health insurance: these are those listed by the "interministerial tariff of health services" (TIPS), which takes the form of interministerial orders issued after the opinion of the advisory commission on health benefits, which, under the provisions of Article R. 165-1 of the Social Security Code, set: "1) the list or nomenclature of supplies and devices that can be covered under health benefits; 2) their specifications and, where applicable, their normal period of use, the period during which they must be guaranteed, fully or partially, as well as the medical indications upon which their coverage may be conditioned; 3) the responsibility rates of health insurance organizations and the ministry in charge of veterans, applicable to these supplies and devices, as well as their renewal, repair, and possible adaptation." The coverage of expenses related to supplies and devices is subject to a medical prescription (paragraph 1 of Article R. 165-4). Furthermore, the "interministerial tariff of health services" (TIPS) specifies that the coverage of certain materials and devices, such as, for example, medical beds, is subject to prior agreement from the health insurance organization, that is, from the primary health insurance fund or the minister of veterans. Moreover, suppliers of certain devices, such as wheelchairs and certain prostheses, are subject to approval granted by the regional health insurance fund. The order of December 30, 1985 specifies in this regard that distributors must have premises suitable for the exercise of this activity, that is, accessible to disabled persons and their vehicles, with a minimum area of 16 m², specially adapted toilets, and a workshop to ensure repairs; furthermore, the staff of these distributors must demonstrate competencies certified by a diploma of "lessor and reseller of vehicles for physically disabled persons" issued by the Center for Studies and Research on the Equipment of Disabled Persons (CERAH), which is under the Secretary of State for Veterans and located in Woippy (Moselle).</w:t>
        <w:br/>
        <w:t>In addition, the TIPS provides that certain devices can only be sold and not rented, particularly for hygiene reasons (mattresses, for example).</w:t>
        <w:br/>
        <w:t>Other devices and materials are not listed in the TIPS, such as transport strollers or hospital tables.</w:t>
        <w:br/>
        <w:t>There is no precise evaluation of the number of people concerned by these various materials and devices due, in particular, to the lack of consistency among the various sources. According to figures communicated during the first technical days of health insurance on equipment, held in Le Mans on March 8 and 9, 1989, the number of disabled French people was estimated at around 6 million. During the second technical days of health insurance on equipment, held in Vichy on March 18 and 19, 1992, it was indicated that 5 to 6 million people would use beds, canes, small and large equipment, and that 500,000 people would need wheelchairs, with annual sales of this type of device amounting to approximately 32,000 to 35,000 units, of which 2,000 to 3,000 are electric.</w:t>
        <w:br/>
        <w:t>To meet this demand, there are three categories of distributors: firstly, specialized private companies that hold about 50% of the market dominated, according to SYNALAM (National Union of Medical Device Lessors), by six companies: Vitalair, Orkyn’, LVL, Locapharm, Bastide, and De Médica; secondly, the 22,500 pharmacies engaged in the rental of medical equipment listed in the TIPS, whose market share would be, according to the Federation of Pharmaceutical Unions of France, about 30%; finally, since the 1980s, a number of primary health insurance funds that have set up loan services for equipment, directly or through associations; this activity would represent about 20% of the total market.</w:t>
        <w:br/>
        <w:t>Among these materials and devices, those that provide technical aids and those that allow for the maintenance of patients at home meet specific needs. The companies that distribute them must be able to ensure rapid delivery; the company LVL has thus stated: "Beds are delivered within two hours. This is due to the fact that the demand may arise, in particular, at the time of hospital discharge without prior contact, and therefore it is necessary to act urgently to obtain or retain customers."</w:t>
        <w:br/>
        <w:t>Furthermore, if, contrary to what is required for respiratory assistance materials and for products such as pumps and syringe drivers, there is no mandatory on-call duty, distribution companies must nevertheless have a customer service capable of assisting patients as quickly as possible. According to LVL, "for home care (mainly beds and chairs), it is not necessary to ensure a 24-hour service. We are open from Monday to Saturday, possibly late in the evening, and when requested, we can deliver a bed within two hours. Outside of that, we inform the patients' families about the possibilities of providing, when we are closed, a temporary repair of beds (in particular, returning to a flat position by unlocking) and we also provide training for care staff who can thus possibly intervene... Except for electric wheelchairs for which we intervene quickly (some correspond, in fact, to serious pathologies), maintenance and repair of manual chairs usually do not present an urgent nature." Proximity thus plays an important role. The company Sunrise, a manufacturer of equipment, stated in this regard: "The distribution of these devices is a local activity due to the characteristics of the clientele and the constraints of suppliers." Apart from pharmacies, given their situation of great proximity to their usual clientele, the delimitation of market areas leads, according to companies, to different assessments. Thus, while for the company Locapharm: "It is not possible to precisely define the operational radius of the agencies, which is variable for each: it is mainly a development of opportunity, which remains geographically limited," the company Protéor indicates: "The size of the market areas varies according to the geographical configuration. Thus, in Grenoble, the operational radius is less than 50 km, while in the west, this radius is around 100 km; however, most of our activity takes place in urban areas... [but] it is a proximity activity and the market hardly extends beyond a 'small crown' around the urban area where we are located." For its part, the company Bastide indicated: "as for the market areas, they extend in a circle of 10 km for home care and 50 km for disability, respiratory sector, and infusion sector. But, in fact, the size of the market is linked to the competence of the companies." On its side, the company Orkyn’ considers that the "average operational radius is around 60 km," with the company LVL specifying: "we consider that the activity of an agency can be exercised over a radius of 30 km. It is a proximity activity, particularly because proximity generates customer trust by reassuring about intervention capabilities. For example, it was not possible to develop our activity in Rouen from the Le Havre agency, despite all the efforts of our salespeople with various partners in the medical sector; on the other hand, the opening of an agency in Rouen immediately yielded results. The same was true between Rouen and Evreux: the opening of an agency in Evreux was necessary." Given the characteristics of these services, the markets for the distribution of technical aids and materials allowing for the maintenance of patients at home have a local dimension.</w:t>
        <w:br/>
        <w:t>B. - Practices</w:t>
      </w:r>
    </w:p>
    <w:p>
      <w:r>
        <w:rPr>
          <w:b/>
        </w:rPr>
        <w:t>[Pages 4–6]</w:t>
      </w:r>
    </w:p>
    <w:p>
      <w:r>
        <w:t>role de nous substituer aux caisses dans leurs choix d’acquisition. Nous ne sommes pas là pour dire ce qu’il faut acheter, mais pour aider à mieux acheter."</w:t>
      </w:r>
    </w:p>
    <w:p>
      <w:r>
        <w:t>L’ANACAM a également pour mission de favoriser les échanges d’informations entre ses membres et de promouvoir des actions communes. Elle organise des rencontres, des formations et des séminaires pour ses adhérents afin de partager les bonnes pratiques et d’améliorer la qualité des services offerts.</w:t>
      </w:r>
    </w:p>
    <w:p>
      <w:r>
        <w:t>En conclusion, les caisses primaires d’assurance maladie jouent un rôle essentiel dans la gestion des services de prêt d’appareils médicaux, avec une certaine autonomie dans leurs actions sanitaires et sociales, tout en étant soumises à la réglementation en vigueur. Les initiatives prises par certaines caisses pour offrir des services de prêt gratuits témoignent d'une volonté d'améliorer l'accès aux soins pour les assurés, bien que des disparités existent entre les départements et les structures.</w:t>
      </w:r>
    </w:p>
    <w:p>
      <w:r>
        <w:rPr>
          <w:b/>
        </w:rPr>
        <w:t>[Pages 7–9]</w:t>
      </w:r>
    </w:p>
    <w:p>
      <w:r>
        <w:t>which prohibits the Council from taking action against practices that do not fall within the scope of the competition law.</w:t>
      </w:r>
    </w:p>
    <w:p>
      <w:r>
        <w:t>III. - On the basis of the preceding findings, the Council,</w:t>
      </w:r>
    </w:p>
    <w:p>
      <w:r>
        <w:t>Regarding the competence of the Council</w:t>
        <w:br/>
        <w:t>Considering that pursuant to Article L. 410-1 of the Commercial Code: "The rules defined in this book apply to all activities of production, distribution, and services, including those carried out by public entities, particularly within the framework of public service delegation agreements";</w:t>
        <w:br/>
        <w:t>Considering that in a ruling dated October 18, 1999, Aéroports de Paris, the Conflict Tribunal held that "while public entities may be sanctioned by the Competition Council acting under the control of the judiciary for engaging in production, distribution, or service activities, the decisions by which these entities fulfill their public service mission using public power prerogatives fall under the jurisdiction of the administrative court to assess their legality and, where applicable, to rule on the liability incurred by these public entities";</w:t>
        <w:br/>
        <w:t>Considering that the activity of certain primary health insurance funds, which is the subject of this referral, consists of providing insured persons with medical devices; thus, it is a service activity, with the funds operating in the markets for distributing technical aids for disabled persons and distributing equipment that allows patients to remain at home; assuming that it falls within the framework of the public service mission entrusted to them, this activity is not carried out using public power prerogatives; thus, the Competition Council is competent to examine the practices implemented in these markets by primary health insurance funds;</w:t>
      </w:r>
    </w:p>
    <w:p>
      <w:r>
        <w:t>Regarding the agreement between the funds</w:t>
        <w:br/>
        <w:t>Considering that pursuant to Article L. 420-1 of the Commercial Code: "Concerted actions, agreements, express or tacit understandings, or coalitions that have the object or may have the effect of preventing, restricting, or distorting competition in a market are prohibited, particularly when they aim to: 1. Limit access to the market or the free exercise of competition by other companies; 2. Hinder price setting by the free play of the market by artificially promoting their increase or decrease; 3. Limit or control production, outlets, investments, or technical progress; 4. Allocate markets or sources of supply.";</w:t>
      </w:r>
    </w:p>
    <w:p>
      <w:r>
        <w:t>Considering that USDIFAMED argues in its referral that "the similarity of practices among many primary funds can only be explained by at least a tacit agreement and not by a simple parallelism of behaviors justified by the pursuit of each fund's individual interest," that this agreement would aim to "gradually eliminate distribution companies," and that "the creation of ANACAM only highlights the consultation among the funds";</w:t>
        <w:br/>
        <w:t>But considering, preliminarily, that the loan services established by certain primary health insurance funds are only accessible to the members of each of these primary funds or to those of other associated mandatory regimes; thus, the health insurance funds that have created such loan services are not in competition with each other in the local markets for distributing technical aids and equipment that allow patients to remain at home;</w:t>
        <w:br/>
        <w:t>Considering, furthermore, that parallelism of behaviors cannot be regarded as an agreement, within the meaning of Article L. 420-1 of the Commercial Code, unless identical behaviors cannot be explained either by the market conditions to which each company is subject or by the pursuit of each of their individual interests; that in this case, as noted in part I of this decision, it results from the investigation that the creation of the services in question originates from local managers and results from decisions made autonomously by the concerned funds; that the operation of each of these services is also autonomous, both in terms of the policy followed, the development of activities, relations with insured persons, financing methods, and stock management; that USDIFAMED does not provide, in support of its allegation, any element that would suggest that a practice, which would have aimed or could have had the effect of distorting and hindering competition in the local markets for the distribution of the concerned devices, has been implemented by the loan services of the CPAM;</w:t>
      </w:r>
    </w:p>
    <w:p>
      <w:r>
        <w:t>Considering, secondly, that no element in the file demonstrates that the establishment of ANACAM, by a number of funds, results from a desire or has had the effect of distorting or harming the competition; that moreover, the consultation organized by this association, even assuming that it aimed to obtain equipment and devices at the lowest cost and to pool the stocks of these materials and devices, would not, in itself, be anti-competitive;</w:t>
        <w:br/>
        <w:t>Considering that it follows from the above that it is not established that the practices denounced by USDIFAMED fall within the provisions of Article L. 420-1 of the Commercial Code;</w:t>
      </w:r>
    </w:p>
    <w:p>
      <w:r>
        <w:t>Regarding the abuse of economic dependence</w:t>
        <w:br/>
        <w:t>Considering that pursuant to section I of Article L. 420-2 of the Commercial Code, in its wording applicable at the time of the facts: "The abusive exploitation by a company or a group of companies of the state of economic dependence in which a client or supplier company finds itself, which does not have equivalent solutions, is prohibited.";</w:t>
        <w:br/>
        <w:t>Considering that as specified by the Council in its opinion No. 97-A-01 dated January 21, 1997, concerning various questions regarding the concentration of distribution: "Economic dependence refers to the situation in which a company finds itself in relation to another, client or supplier, characterized by a position of power such that it cannot escape it. In this case, the continuity of operation in the economic sense of the first company, which is in a state of dependence, is no longer assured, as the commercial relations (purchase or sale of goods and services) it maintains with the second would cease"; thus, the situation of economic dependence concerns companies, that is to say, economic operators engaged in production, distribution, or service activities, linked by commercial relations stricto sensu;</w:t>
      </w:r>
    </w:p>
    <w:p>
      <w:r>
        <w:t>Considering that, to support that the primary health insurance funds would abuse the economic dependence situation in which the medical device distribution companies would find themselves with respect to them, USDIFAMED indicates that "it is the social security legislation itself that organizes this economic dependence through the mechanisms of approval, prior agreement, and coverage," that "it is also the social security legislation that prohibits sales or rental companies of equipment from finding elsewhere 'equivalent solutions' within the meaning of the 1986 ordinance," and that "when the fund has decided to refuse financial coverage for a service, it is difficult to imagine that the patient will find another source of funding, while he rightly considers that his status as an insured person is precisely intended to relieve him of this concern"; that finally, USDIFAMED concludes: that "ultimately, the economic and financial fate of sales or rental companies of equipment entirely depends on the policy followed by the social security funds, their willingness to comply with the legislation in force, and, on a case-by-case basis, the decisions made by the funds"; thus, USDIFAMED considers that the primary health insurance funds can abuse, on the one hand, the power to cover the expenses incurred by the insured, which is conferred to them by Article L. 211-1 of the Social Security Code, as well as the power they hold from Articles R. 165-1 to R. 165-9 of the same code to grant or refuse the prior agreement to which the coverage of expenses related to certain devices is subject when provided for by the "interministerial tariff of health services," and, on the other hand, the competence entrusted to the regional health insurance funds regarding the approval of certain materials and devices under the order dated December 30, 1985;</w:t>
      </w:r>
    </w:p>
    <w:p>
      <w:r>
        <w:t>Considering, however, that the decisions regarding prior agreements, coverage, and approval of equipment, which are made both by regional funds and by primary health insurance funds, fall within their regulatory missions and the public power prerogatives entrusted to them; thus, the relationships between primary funds and medical device distribution companies that result do not constitute commercial relationships but administrative ones; it follows that the situation of medical device distribution companies with respect to primary health insurance funds cannot be qualified as a situation of economic dependence within the meaning of Article L. 420-2 of the Commercial Code; consequently, there can be no abuse of economic dependence by primary health insurance funds within the meaning of this text;</w:t>
      </w:r>
    </w:p>
    <w:p>
      <w:r>
        <w:t xml:space="preserve">Considering that thus, it is not established that the practices denounced by USDIFAMED fall within the provisions of Article L. 420-2 of the Commercial Code; </w:t>
        <w:br/>
        <w:t>Considering that it results from all of the above that it is not established that the primary health insurance funds have engaged in anti-competitive practices; consequently, it is necessary to apply the provisions of Article L. 464-6 of the Commercial Code,</w:t>
      </w:r>
    </w:p>
    <w:p>
      <w:r>
        <w:rPr>
          <w:b/>
        </w:rPr>
        <w:t>[Pages 10–10]</w:t>
      </w:r>
    </w:p>
    <w:p>
      <w:r>
        <w:t xml:space="preserve">DECIDES  </w:t>
        <w:br/>
        <w:t xml:space="preserve">Single Article: There is no need to continue the proceedings.  </w:t>
        <w:br/>
        <w:t xml:space="preserve">Deliberated, on the report of Ms. Descours-Gatin, substituting for Mr. Resplandy, prevented, by Mr. Cortesse, vice-president, presiding over the session, in substitution for Ms. Hagelsteen, prevented, Ms. Pasturel, vice-president, and Mr. Robin, member, substituting for Mr. Jenny, vice-president, prevented.  </w:t>
        <w:br/>
        <w:t xml:space="preserve">The secretary of the session, The vice-president, presiding over the session,  </w:t>
        <w:br/>
        <w:t xml:space="preserve">Françoise Hazaël-Massieux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