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https://www.autoritedelaconcurrence.fr/fr/decision/relative-la-situation-de-la-concurrence-dans-le-secteur-de-la-distribution-du-gaz-de</w:t>
      </w:r>
    </w:p>
    <w:p>
      <w:r>
        <w:t>Pages translated : 8</w:t>
      </w:r>
    </w:p>
    <w:p/>
    <w:p>
      <w:r>
        <w:rPr>
          <w:b/>
        </w:rPr>
        <w:t>[Pages 1–3]</w:t>
      </w:r>
    </w:p>
    <w:p>
      <w:r>
        <w:t xml:space="preserve">FRENCH REPUBLIC  </w:t>
        <w:br/>
        <w:t xml:space="preserve">Decision No. 91-D-29 of June 4, 1991  </w:t>
        <w:br/>
        <w:t xml:space="preserve">regarding the situation of competition in the sector of the distribution  </w:t>
        <w:br/>
        <w:t xml:space="preserve">of packaged liquefied petroleum gas  </w:t>
        <w:br/>
        <w:t xml:space="preserve">The Competition Council,  </w:t>
        <w:br/>
        <w:t xml:space="preserve">Having regard to the letter registered on October 12, 1988 under numbers F 189 by which Mr. Louis Carreras, in his capacity as president of the public limited company Etablissements Louis Carreras, located in Narbonne, referred to the Competition Council practices he considers anti-competitive in the sector of the distribution of packaged liquefied petroleum gas;  </w:t>
        <w:br/>
        <w:t xml:space="preserve">Having regard to Orders No. 45-1483 and No. 45-1484 of June 30, 1945, as amended, respectively relating to prices and to the observation, prosecution, and repression of violations of economic legislation;  </w:t>
        <w:br/>
        <w:t xml:space="preserve">Having regard to Order No. 86-1243 of December 1, 1986 relating to the freedom of prices and competition, as amended, together with Decree No. 86-1309 of December 29, 1986 taken for its application;  </w:t>
        <w:br/>
        <w:t xml:space="preserve">Having regard to the observations presented by the parties and the Government Commissioner;  </w:t>
        <w:br/>
        <w:t xml:space="preserve">Having regard to the other documents in the file;  </w:t>
        <w:br/>
        <w:t xml:space="preserve">The rapporteur, the general rapporteur, the Government Commissioner, and the parties heard,  </w:t>
        <w:br/>
        <w:t xml:space="preserve">Adopts the decision based on the findings (I) and the reasons (II) set out below.  </w:t>
        <w:br/>
        <w:t xml:space="preserve">I. - FINDINGS  </w:t>
        <w:br/>
        <w:t xml:space="preserve">A. - The sector of the distribution of packaged liquefied petroleum gases  </w:t>
        <w:br/>
        <w:t xml:space="preserve">The market for liquefied petroleum gases  </w:t>
        <w:br/>
        <w:t>Liquefied petroleum gases (L.P.G.) are butane and propane derived either from the refining of petroleum or from natural gas. They are in competition with electricity, town gas, fuel oil, or coal and represent only a small share of the energy consumed in France.</w:t>
      </w:r>
    </w:p>
    <w:p>
      <w:r>
        <w:t xml:space="preserve">Depending on their use, they are delivered in various packaging that professionals classify into four categories:  </w:t>
        <w:br/>
        <w:t xml:space="preserve">- bulk for consumption exceeding 80 tons per year;  </w:t>
        <w:br/>
        <w:t xml:space="preserve">- small and medium bulk for consumption of less than 80 tons per year;  </w:t>
        <w:br/>
        <w:t xml:space="preserve">- automotive liquefied petroleum gas supplied at service stations and large retail outlets;  </w:t>
        <w:br/>
        <w:t>- packaged liquefied petroleum gas, sold in standard bottles of 13 kilograms or 35 kilograms.</w:t>
      </w:r>
    </w:p>
    <w:p>
      <w:r>
        <w:t xml:space="preserve">It is this last form of commercialization that is the subject of the present referral.  </w:t>
        <w:br/>
        <w:t xml:space="preserve">The market for packaged liquefied petroleum gases  </w:t>
        <w:br/>
        <w:t xml:space="preserve">Bottled butane and propane are primarily intended for domestic use for cooking and heating. They essentially maintain their position in the market as complementary energy sources, alongside electricity, for cooking or supplementary heating in primary or secondary residences not connected to the Gaz de France network.  </w:t>
        <w:br/>
        <w:t xml:space="preserve">Other forms of use must also be mentioned: crafts, construction sites, S.N.C.F. (thawing of switches), fair traders, campers, etc.  </w:t>
        <w:br/>
        <w:t xml:space="preserve">The number of users is estimated in France at approximately 10,000,000. This market has been in slow decline since 1980. The quantities of butane consumed have decreased by 22.6% over the eight-year period from 1980 to 1988, and those of propane by 9%.  </w:t>
        <w:br/>
        <w:t xml:space="preserve">The supply  </w:t>
        <w:br/>
        <w:t xml:space="preserve">The supply of packaged liquefied petroleum gas is ensured by eight distributing companies. Four of them, Butagaz, Elf, Antargaz, Total Gaz, and Primagaz, hold 93% of the market. The other four companies involved are: S.I.G.M., a subsidiary of Elf Antargaz, Fina France, in which capital is held by several refiners (Shell, B.P.), and the company Air Liquide. The latter company resells the gas it purchases from Elf Antargaz and primarily operates in the bulk sector.  </w:t>
        <w:br/>
        <w:t xml:space="preserve">The market shares of the various distributing companies, which have remained remarkably stable during the period covering the years 1984 to 1988, are as follows in descending order:  </w:t>
        <w:br/>
        <w:t xml:space="preserve">Butagaz (36.1 to 36.9%);  </w:t>
        <w:br/>
        <w:t xml:space="preserve">Primagaz (19 to 19.3%);  </w:t>
        <w:br/>
        <w:t xml:space="preserve">Elf Antargaz (18.6 to 18.7%);  </w:t>
        <w:br/>
        <w:t xml:space="preserve">Totalgaz (18.2 to 18.6%);  </w:t>
        <w:br/>
        <w:t xml:space="preserve">S.I.G.M. (2.9 to 3.5%);  </w:t>
        <w:br/>
        <w:t xml:space="preserve">Fina France (2 to 2.25%);  </w:t>
        <w:br/>
        <w:t xml:space="preserve">S.H.P. (1.6 to 1.8%);  </w:t>
        <w:br/>
        <w:t>Air Liquide (0.3 to 0.5%).</w:t>
      </w:r>
    </w:p>
    <w:p>
      <w:r>
        <w:t xml:space="preserve">The organization of distribution  </w:t>
        <w:br/>
        <w:t xml:space="preserve">Due to the hazardous nature of the products, their storage, transport, and handling are subject to safety regulations that have a decisive impact on the organization of their distribution.  </w:t>
        <w:br/>
        <w:t xml:space="preserve">Upon leaving the refineries or after unloading from butane or propane ships, the gas is stored in liquid phase in six 'massive storages' owned by oil companies. Gas companies source from these massive storages and a few maritime terminals and transport the gas to filling centers scattered across the territory, which are jointly used by several distributing companies.  </w:t>
        <w:br/>
        <w:t xml:space="preserve">From the filling centers, the distributing companies supply their networks of wholesalers who are subject to brand exclusivity. No wholesaler sells more than one brand of gas.  </w:t>
        <w:br/>
        <w:t xml:space="preserve">The wholesalers supply a network of approximately 184,000 retail resellers in 1987, which can be classified into three categories: traditional resellers, service stations, and large distribution.  </w:t>
        <w:br/>
        <w:t xml:space="preserve">With the exception of service stations, the other resellers have become multi-brand. In this case, products from different brands are sold at the same price. In any event, the price differences between products from different brands at various stages and in all distribution channels appear to be low.  </w:t>
        <w:br/>
        <w:t xml:space="preserve">The supply of gas to the consumer is ensured in bottles of 13 or 35 kilograms which constitute a standardized and normalized packaging. Intended to contain gas under pressure, the 13-kilogram and 35-kilogram bottles are subject to very strict regulations regarding their dimensions, shape, and the quality of their steel.  </w:t>
        <w:br/>
        <w:t xml:space="preserve">Every ten to fifteen years depending on the models, they are subjected, under the control of the mining service, to re-testing.  </w:t>
        <w:br/>
        <w:t xml:space="preserve">The distributing companies control, primarily at the time of their passage through the filling centers, the application of safety rules. Damaged bottles are removed from the filling lines and sent to repair centers where they are repaired or disposed of.  </w:t>
        <w:br/>
        <w:t xml:space="preserve">While they may present different characteristics depending on the brands, the bottles are interchangeable both for the distributing companies for filling and controls and for consumers. This results in a rationalization and standardization of costs for the distributing companies.  </w:t>
        <w:br/>
        <w:t>The distributing companies of butane or propane packaged in 13-kilogram and 35-kilogram bottles purchase the bottles that they have manufactured according to the standards they set in compliance with the safety regulations prescribed by the regulations.</w:t>
      </w:r>
    </w:p>
    <w:p>
      <w:r>
        <w:rPr>
          <w:b/>
        </w:rPr>
        <w:t>[Pages 4–6]</w:t>
      </w:r>
    </w:p>
    <w:p>
      <w:r>
        <w:t>They are therefore the owners and record them in their balance sheets as 'fixed assets'. They retain ownership throughout the distribution process. Wholesalers and resellers are custodians in the interim.</w:t>
      </w:r>
    </w:p>
    <w:p>
      <w:r>
        <w:t>The bottle is made available to the consumer to transport and store the gas charge in the form of a loan for use governed by Articles 1875 and following of the Civil Code. This loan for use is formalized by a written contract that grants the user the right to exchange, without time limit, an empty bottle for a full one by paying the price of the gas charge. At the time of the loan, as a guarantee for the obligation to return the bottle, a deposit is required from the user, the amount of which is identical for all distributing companies. The user has the option to return the borrowed equipment at any time and be reimbursed for the deposit, subject to the deduction of annual maintenance fees.</w:t>
      </w:r>
    </w:p>
    <w:p>
      <w:r>
        <w:t>This is the procedure that he will normally have to use if he intends to change brands. He will return to the distributing company the bottle of his brand that he possesses and will be reimbursed for the deposit. Then he will request a loan of a bottle of another brand from the interested distributing company and pay the corresponding deposit.</w:t>
      </w:r>
    </w:p>
    <w:p>
      <w:r>
        <w:t>Due to the similarity of the deposit amounts, changing brands theoretically constitutes a neutral operation concerning the deposit. The user, upon recovering the deposit amount from the old brand, should have, taking into account the deduction of annual maintenance fees, an amount close to that which he will have to pay for the deposit of a bottle of another brand.</w:t>
      </w:r>
    </w:p>
    <w:p>
      <w:r>
        <w:t>But this is only true to the extent that not too much time has elapsed between the brand change and the subscription to the initial brand. Indeed, as the deposit amounts increase over the years, the sum that the user will have to pay to obtain a bottle of the new brand will be higher than that which he recovers as a deposit from the company of which he was previously a customer. Moreover, this amount will be reduced by the annual maintenance fees.</w:t>
      </w:r>
    </w:p>
    <w:p>
      <w:r>
        <w:t>B. - The facts to qualify</w:t>
      </w:r>
    </w:p>
    <w:p>
      <w:r>
        <w:t>The facts to qualify originate from the development of exchanges of bottles of different brands. Some retail resellers have agreed to receive, in exchange for a full bottle of gas of the brand they distribute, an empty bottle of another brand, thus allowing the consumer to change brands without having proceeded to the deposit of a bottle of their brand. They considered that the interchangeability of the bottles could authorize such an operation.</w:t>
      </w:r>
    </w:p>
    <w:p>
      <w:r>
        <w:t>Wholesalers, in turn, accepted to take back these bottles belonging to other brands. They then sought arrangements to exchange them with wholesalers of competing brands for bottles of their own brand in order to replenish their stocks.</w:t>
      </w:r>
    </w:p>
    <w:p>
      <w:r>
        <w:t>Starting in 1970, dealers became concerned about the exchanges of bottles practiced by some of their colleagues. Under the auspices of the National Federation of Regional Liaison Centers of Liquefied Petroleum Gas Dealers (Fegazliq), an organization was established to combat these practices of 'customer diversion'. This action ended in 1975.</w:t>
      </w:r>
    </w:p>
    <w:p>
      <w:r>
        <w:t>The exchange movement resumed in 1980 and 1981 and intensified from 1983. Specialized intermediaries known as 'exchangers' appeared and provided wholesalers, for a fee, with the bottles they needed to replenish their stocks. The distributing companies then decided to undertake a joint action to put an end to these practices. This action materialized in a protocol of agreement dated December 20, 1984, concluded under the auspices of the Professional Committee of Butane and Propane (C.P.B.P.) and signed by the eight distributing companies.</w:t>
      </w:r>
    </w:p>
    <w:p>
      <w:r>
        <w:t>Under this protocol, the distributing companies 'agree - to put an end to this practice that undermines the fairness of competition - to respect and enforce the following rules that result from the fact that the companies own the bottles of butane and propane'.</w:t>
      </w:r>
    </w:p>
    <w:p>
      <w:r>
        <w:t>The rules to be applied are categorized under four headings, which can be summarized by the first of them as follows: 'The distributing companies must only receive and/or take back, in their distribution network, the bottles that belong to them. Their subsidiaries are subject to the same obligation.'</w:t>
      </w:r>
    </w:p>
    <w:p>
      <w:r>
        <w:t>To achieve this result, the distributing companies have sent renewed instructions and warnings to the members of their distribution networks. They have also initiated legal actions against wholesalers and exchangers based on the protection of their property rights over the bottles.</w:t>
      </w:r>
    </w:p>
    <w:p>
      <w:r>
        <w:t>The action of the distributing companies has also found support in the contractual clauses that some of them had included in the contracts entered into with their authorized wholesalers or dealers, which prohibited these exchanges under penalty of termination of the contract.</w:t>
      </w:r>
    </w:p>
    <w:p>
      <w:r>
        <w:t>Thus, the author of the referral, Mr. Carreras, a dealer since 1975 for the company Elf Monagaz, now Elf Antargaz, for the distribution of liquefied petroleum gas in several cantons of the Aude department, had his contract terminated on December 28, 1987, by Elf Antargaz due to the non-compliance with the provisions of said contract prohibiting the exchange of bottles from one brand for another.</w:t>
      </w:r>
    </w:p>
    <w:p>
      <w:r>
        <w:t>However, the gas companies that had not included such clauses in their contracts still considered that these could be terminated to sanction the practice deemed illegal of exchanging bottles.</w:t>
      </w:r>
    </w:p>
    <w:p>
      <w:r>
        <w:t>Following a general operation to recover bottles organized across all their networks by the distributing companies during the first half of 1985, each company retrieved those that had been exchanged. By the end of 1985, according to the companies, these exchange operations were completed.</w:t>
      </w:r>
    </w:p>
    <w:p>
      <w:r>
        <w:t>But the companies continued to vigilantly pursue their joint action to put an end definitively to the practice of bottle exchanges, so they remain bound by the agreement of December 20, 1984, which can be considered to still produce its effects.</w:t>
      </w:r>
    </w:p>
    <w:p>
      <w:r>
        <w:t>II. - BASED ON THE ABOVE FINDINGS, THE COUNCIL</w:t>
      </w:r>
    </w:p>
    <w:p>
      <w:r>
        <w:t>Considering that, in his observations, Mr. Carreras believes that the facts could, regarding the termination of his concession contract by Elf Antargaz, constitute, in light of the provisions of Article 8-2 of the ordinance of December 1, 1986, an abusive exploitation of the economic dependency in which he would have found himself due to the concerted anti-competitive actions of Elf Antargaz and the other distributing companies of packaged liquefied petroleum gas;</w:t>
      </w:r>
    </w:p>
    <w:p>
      <w:r>
        <w:t>But considering that Mr. Carreras cannot be justified in invoking an economic dependency with respect to all the distributing companies of packaged liquefied petroleum gas; that if the measure he was subjected to can be considered as resulting from a concerted action on their part, it is necessary to determine whether this is likely to fall under Article 50 of Ordinance No. 45-1483 of June 30, 1945 and Article 7 of the ordinance of December 1, 1986;</w:t>
      </w:r>
    </w:p>
    <w:p>
      <w:r>
        <w:t>Considering that this concerted action is intended to obstruct the practices implemented by resellers to increase, through exchanges, the clientele of their respective brands, or at least to maintain its level in a slowly declining market; that its purpose is therefore to restrict the play of competition in this market;</w:t>
      </w:r>
    </w:p>
    <w:p>
      <w:r>
        <w:t>Considering, as for its effects, that even if the exchanges of bottles have only slightly modified the initial distribution of clientele and have not resulted in notable changes in the market shares held by the different distributing companies, their prohibition may limit the full exercise of competition by reinforcing the loan for use system in which the consumer, who chose a brand at the time of his first purchase, has little interest in changing suppliers even if he has the possibility; that indeed the steps to obtain from his former supplier the return of his deposit and then to pay a deposit to the supplier of the new brand chosen, even if it is a financially neutral operation or at least low-cost, tend all the more to dissuade the consumer from changing brands as the products are identical and their prices comparable;</w:t>
      </w:r>
    </w:p>
    <w:p>
      <w:r>
        <w:t>Considering in these conditions that the agreement of December 20, 1984, subscribed under the auspices of the French Committee of Butane and Propane by all the distributing companies to prohibit the exchange of bottles, as well as the measures taken by each of the gas companies for its application, which cannot be dissociated from it, constitute concerted practices within the meaning of Article 7 of the ordinance of December 1, 1986 or Article 50 of the ordinance of June 30, 1945 depending on the date of the facts; that the same applies to the clauses of the concession contracts prohibiting the exchanges of bottles, under penalty of termination of the concession, the effective application of which by all the interested companies has, moreover, been the consequence of the intervention of the agreement of December 20, 1984;</w:t>
      </w:r>
    </w:p>
    <w:p>
      <w:r>
        <w:t>On the application of Article 10 of the ordinance of December 1, 1986 and Article 51 of the ordinance of June 30, 1945;</w:t>
      </w:r>
    </w:p>
    <w:p>
      <w:r>
        <w:rPr>
          <w:b/>
        </w:rPr>
        <w:t>[Pages 7–8]</w:t>
      </w:r>
    </w:p>
    <w:p>
      <w:r>
        <w:t>Considering that the parties are not justified in defending these practices by claiming to apply a legislative text on the grounds that the prohibition of exchanges would constitute a measure of protection for the property rights of distributing companies over the bottles; indeed, while it is up to the operators, to put an end to or sanction unlawful acts of which they consider themselves victims, to address the competent jurisdictions as some distributing companies have done, they cannot, on the other hand, combat such acts by themselves implementing practices prohibited by competition law;</w:t>
      </w:r>
    </w:p>
    <w:p>
      <w:r>
        <w:t>Considering that the distributing companies argue that the interchangeability of bottles would lead to disproportionate additional costs compared to the benefit it may present for the user and that the issue of ownership of the bottles is inseparable from compliance with safety rules and the liability issues that arise from it; that, under these conditions, they believe that the practices for which they are criticized would be justified in light of the application of paragraph 2 of Article 10 of the ordinance of December 1, 1986, and paragraph 2° of Article 51 of the ordinance of June 30, 1945, by a contribution to economic progress resulting both from savings on distribution costs and from compliance with imperative safety rules;</w:t>
      </w:r>
    </w:p>
    <w:p>
      <w:r>
        <w:t>Considering that the convenience offered to the customer by exchanges translates into costs whose significance cannot be overlooked; indeed, bottles of a specific brand could be found dispersed throughout the national territory with any distributor after exchanges with bottles of another brand; that the bottles thus scattered in competing distribution networks would need to be returned to the company that owns the packaging: that even if interprofessional exchange operations were organized, it would result in transportation, handling, and storage costs as well as immobilization, in an unproductive system, of packaging that would need to be replaced; that companies would need to increase their stocks of bottles without being able to access the proceeds from the deposits; that these various costs of transportation, handling, storage, and increased stock of bottles would, due to their significance, inevitably be passed on to the selling price of gas charges to consumers;</w:t>
      </w:r>
    </w:p>
    <w:p>
      <w:r>
        <w:t>Considering, moreover, that the retention of ownership of the bottles by gas companies appears inseparable from compliance with safety rules and the liability issues that arise from it; indeed, the regulations concerning liquefied petroleum gases impose on the owners of the packaging, due to the hazardous nature of the products, a whole series of obligations (technical controls, repairs, replacements) that the consumer could hardly comply with if the loan for use system were abandoned and if he became the owner of the bottles; that furthermore, he would have to face the issues posed by the potential questioning of his liability in the event of an incident;</w:t>
      </w:r>
    </w:p>
    <w:p>
      <w:r>
        <w:t>Considering that thus the marketing process adopted by gas companies, which includes the prohibition of exchanges, constitutes the economic translation of safety imperatives for both LPG concessionaires and distributors as well as for consumers; that it therefore contributes to economic progress while reserving for users, through a reduction in costs and prices, a share of the resulting profit; that it is not established that the same benefits could be obtained by implementing different systems;</w:t>
      </w:r>
    </w:p>
    <w:p>
      <w:r>
        <w:t>Considering, under these conditions, that the justifications provided appear sufficient to apply the provisions of paragraph 2 of Article 10 of the ordinance n° 86-1243 of December 1, 1986, and paragraph 2° of Article 51 of the ordinance n° 45-1483 of June 30, 1945,</w:t>
      </w:r>
    </w:p>
    <w:p>
      <w:r>
        <w:t>DECIDES:</w:t>
        <w:br/>
        <w:t>Single Article. - In application of paragraph 2 of Article 10 of ordinance n° 86-1243 of December 1, 1986, and paragraph 2° of Article 51 of ordinance n° 45-1483 of June 30, 1945, the collusive practices referred to in the referral are not subject to the provisions of Article 7 of the ordinance of December 1, 1986, nor to those of Article 50 of the ordinance of June 30, 1945.</w:t>
        <w:br/>
        <w:t>Deliberated in section on the report of Mr. Jean-Marie Somny, in its session of June 4, 1991, where were present:</w:t>
        <w:br/>
        <w:t>Mr. Béteille, vice-president, presiding over the session;</w:t>
        <w:br/>
        <w:t>MM. Bon, Fries, Ms. Lorenceau, and Mr. Schmidt, members.</w:t>
        <w:br/>
        <w:t>The substitute general rapporteur, The vice-president, presiding over the session,</w:t>
        <w:br/>
        <w:t>A.P. Weber R. Béteille</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