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https://www.autoritedelaconcurrence.fr/fr/decision/relative-la-situation-de-la-concurrence-dans-le-secteur-de-la-navigation-de-plaisance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COUNCIL OF COMPETITION</w:t>
        <w:br/>
        <w:t>Decision No. 98-D-47 of June 30, 1998</w:t>
        <w:br/>
        <w:t>regarding the competition situation in the recreational boating sector</w:t>
        <w:br/>
        <w:t>The Competition Council (standing committee),</w:t>
        <w:br/>
        <w:t>Having regard to the letter registered on June 27, 1991, under No. F 421, by which the Minister of Economy, Finance, and Budget referred the Competition Council to the competition situation in the recreational boating market;</w:t>
        <w:br/>
        <w:t>Having regard to Ordinance No. 86-1243 of December 1, 1986, as amended, relating to the freedom of prices and competition, and Decree No. 86-1309 of December 29, 1986, as amended, adopted for its application;</w:t>
        <w:br/>
        <w:t>Having regard to the observations presented by the Government Commissioner;</w:t>
        <w:br/>
        <w:t>Having regard to the other documents in the file;</w:t>
        <w:br/>
        <w:t>The rapporteur, the general rapporteur, and the Government Commissioner heard;</w:t>
        <w:br/>
        <w:t>Considering that the Minister of Economy, Finance, and Budget referred the Competition Council to the competition situation in the recreational boating market on June 27, 1991;</w:t>
        <w:br/>
        <w:t>Considering that under Article 27 of the ordinance of December 1, 1986: "the Council cannot be seized of facts dating back more than three years if no act has been made to seek, establish, and sanction them"; that the Court of Appeal of Paris in a judgment of December 1, 1995 (société L’Entreprise Industrielle, 1st chamber, competition section, judgment No. 95/3245), the appeal filed against this judgment having been rejected by the Court of Cassation (commercial, financial and economic chamber, judgment No. 1848 P of July 8, 1997) ruled that: "This text establishes a limitation period and defines the nature of acts that have the effect of interrupting it; (...) that any limitation whose acquisition results in rendering an action inadmissible or prohibiting the sanction of a fact begins to run after it has been interrupted, subject to a possible cause (...) for the suspension of its course";</w:t>
        <w:br/>
        <w:t>Considering that it is established that the practices denounced in the referral have not been subject to any interruptive act of limitation for a period of more than three years; that under these conditions, the Council cannot examine these facts;</w:t>
        <w:br/>
        <w:t>Considering that it follows from the above that it is necessary to apply the provisions of Article 20 of the ordinance of December 1, 1986,</w:t>
      </w:r>
    </w:p>
    <w:p>
      <w:r>
        <w:t>Decides:</w:t>
        <w:br/>
        <w:t>Sole Article. - There is no need to continue the procedure.</w:t>
        <w:br/>
        <w:t>Deliberated, on the oral report of Ms. Chaulet-Philippe, by Mr. Barbeau, president, Messrs. Cortesse and Jenny, vice-presidents.</w:t>
        <w:br/>
        <w:t>The general rapporteur, The President,</w:t>
        <w:br/>
        <w:t>Marie Picard Charles Barbeau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