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https://www.autoritedelaconcurrence.fr/fr/decision/relative-la-situation-de-la-concurrence-dans-le-secteur-de-la-production-et-de-la</w:t>
      </w:r>
    </w:p>
    <w:p>
      <w:r>
        <w:t>Pages translated : 2</w:t>
      </w:r>
    </w:p>
    <w:p/>
    <w:p>
      <w:r>
        <w:rPr>
          <w:b/>
        </w:rPr>
        <w:t>[Pages 1–2]</w:t>
      </w:r>
    </w:p>
    <w:p>
      <w:r>
        <w:t xml:space="preserve">FRENCH REPUBLIC  </w:t>
        <w:br/>
        <w:t xml:space="preserve">Decision No. 03-D-58 of December 9, 2003  </w:t>
        <w:br/>
        <w:t xml:space="preserve">concerning the competition situation  </w:t>
        <w:br/>
        <w:t xml:space="preserve">in the sector of production and distribution  </w:t>
        <w:br/>
        <w:t>of mancozeb and cymoxanil as well as their derivative products</w:t>
      </w:r>
    </w:p>
    <w:p>
      <w:r>
        <w:t>The Competition Council (permanent commission),</w:t>
      </w:r>
    </w:p>
    <w:p>
      <w:r>
        <w:t>Having regard to the decision of September 15, 1998, registered under number F 1126, by which the Competition Council initiated an investigation on its own motion into the competition situation in the sector of production and distribution of mancozeb and cymoxanil as well as their derivative products;</w:t>
      </w:r>
    </w:p>
    <w:p>
      <w:r>
        <w:t>Having regard to Book IV of the Commercial Code relating to the freedom of prices and competition, Decree No. 86-1309 of December 29, 1986, as amended, and Decree No. 2002-689 of April 30, 2002, setting the conditions for the application of Book IV of the Commercial Code;</w:t>
      </w:r>
    </w:p>
    <w:p>
      <w:r>
        <w:t>Having regard to the observations presented by the Government Commissioner;</w:t>
      </w:r>
    </w:p>
    <w:p>
      <w:r>
        <w:t>Having regard to the other documents in the file;</w:t>
      </w:r>
    </w:p>
    <w:p>
      <w:r>
        <w:t>The rapporteur, the general rapporteur, and the Government Commissioner heard during the session of October 14, 2003;</w:t>
      </w:r>
    </w:p>
    <w:p>
      <w:r>
        <w:t>1. Article L. 464-6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2. The marketing and use of the products subject to the referral, whether they are the active substances themselves or the specialties prepared from these substances, fall under very strict legislation, intended to guarantee their effectiveness and safety for the user, the consumer, and the environment.</w:t>
      </w:r>
    </w:p>
    <w:p>
      <w:r>
        <w:t>3. Companies that manufacture and sell mancozeb, cymoxanil, or their derivatives in France must have received a favorable opinion from the Ministry of Agriculture in the form of an approval, possibly preceded by a provisional sales authorization. This procedure is provided for by Law No. 525 of November 2, 1943, codified in Articles L. 253-1 and following of the Rural Code, and whose provisions have been supplemented by Decree No. 94-359 of May 5, 1994, and two orders that transposed into domestic law the European approval directive 91/414/EEC of July 15, 1991.</w:t>
      </w:r>
    </w:p>
    <w:p>
      <w:r>
        <w:t>4. The examination of the marketing documents of the products in question, access letters, supply certificates, and supply attestations, supply contracts, conducted as part of the investigation, revealed no evidence of collusion or abuse of a dominant position. The contracts in the file contain no exclusivity clauses for supply. The same applies to the marketing conditions, prices, quantities requested, and delivery times, regarding which no illegal practices were noted in light of Articles L. 420-1 and L. 420-2 of the Commercial Code.</w:t>
      </w:r>
    </w:p>
    <w:p>
      <w:r>
        <w:t xml:space="preserve">5. During their hearing on July 16, 2002, by the rapporteur, the head of the regulation and marketing office for inputs at the Ministry of Agriculture, Food, Fisheries, and Rural Affairs, along with his deputy, stated: "… The competition issues that can be identified" in this case and "that could arise in the future are as follows:  </w:t>
        <w:br/>
        <w:t xml:space="preserve">- The concentration of companies  </w:t>
        <w:br/>
        <w:t xml:space="preserve">For new active substances, companies have merged, and the sector is highly concentrated. Three companies represent 80% of the market. These concentrations have been regularly notified, but care must be taken to maintain competition.  </w:t>
        <w:br/>
        <w:t xml:space="preserve">- The re-evaluation of active substances  </w:t>
        <w:br/>
        <w:t xml:space="preserve">- The re-evaluation of active substances at the community level may lead to the disappearance of a number of "generic manufacturers," and the creation of monopolies. To date, competition remains.  </w:t>
        <w:br/>
        <w:t xml:space="preserve">- The role of distributors  </w:t>
        <w:br/>
        <w:t>In the future, care must be taken regarding the role played by distributors. In certain market segments, two to three large distributor networks may ally with manufacturers, posing risks of vertical integration…"</w:t>
      </w:r>
    </w:p>
    <w:p>
      <w:r>
        <w:t>6. However, in the current state of the file, the investigation conducted has revealed no evidence of the existence of anti-competitive practices likely to fall within the provisions of Articles 7 and 8 of Ordinance No. 86-1243 of December 1, 1986, which have become Articles L. 420-1 and L. 420-2 of Book IV of the Commercial Code and/or Articles 85 and 86, which have become Articles 81 and 82 of the Treaty of Rome.</w:t>
      </w:r>
    </w:p>
    <w:p>
      <w:r>
        <w:t>7. Under these conditions, it is appropriate to apply the provisions of Article L. 464-6 of the aforementioned Commercial Code.</w:t>
      </w:r>
    </w:p>
    <w:p>
      <w:r>
        <w:t xml:space="preserve">DECISION  </w:t>
        <w:br/>
        <w:t>Sole Article: There is no need to continue the procedure.</w:t>
      </w:r>
    </w:p>
    <w:p>
      <w:r>
        <w:t>Deliberated, on the oral report of Ms. de Mallmann, by Ms. Pasturel, Vice-President, Mr. Nasse, Vice-President, and Mr. Piot, Member.</w:t>
      </w:r>
    </w:p>
    <w:p>
      <w:r>
        <w:t xml:space="preserve">The session secretary, The Vice-President,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