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https://www.autoritedelaconcurrence.fr/fr/decision/relative-la-situation-de-la-concurrence-dans-le-secteur-de-lexpertise-dassures-en-0</w:t>
      </w:r>
    </w:p>
    <w:p>
      <w:r>
        <w:t>Pages translated : 2</w:t>
      </w:r>
    </w:p>
    <w:p/>
    <w:p>
      <w:r>
        <w:rPr>
          <w:b/>
        </w:rPr>
        <w:t>[Pages 1–2]</w:t>
      </w:r>
    </w:p>
    <w:p>
      <w:r>
        <w:t xml:space="preserve">COMPETITION COUNCIL  </w:t>
        <w:br/>
        <w:t xml:space="preserve">Decision No. 97 D 57  </w:t>
        <w:br/>
        <w:t xml:space="preserve">of September 2, 1997  </w:t>
        <w:br/>
        <w:t>regarding the competitive situation in the sector of insured expertise in industrial and commercial risks.</w:t>
      </w:r>
    </w:p>
    <w:p>
      <w:r>
        <w:t>The Competition Council (Standing Committee),</w:t>
      </w:r>
    </w:p>
    <w:p>
      <w:r>
        <w:t>Having regard to the letter registered on December 29, 1988, under number F 214 by which the Minister of State, Minister of Economy, Finance and Budget referred the matter to the Competition Council in the sector of insured expertise in industrial and commercial risks;</w:t>
      </w:r>
    </w:p>
    <w:p>
      <w:r>
        <w:t>Having regard to Ordinance No. 86-1243 of December 1, 1986, as amended, relating to the freedom of prices and competition and Decree No. 86-1309 of December 29, 1986, as amended, adopted for its application;</w:t>
      </w:r>
    </w:p>
    <w:p>
      <w:r>
        <w:t>Having regard to the observations presented by the Government Commissioner;</w:t>
      </w:r>
    </w:p>
    <w:p>
      <w:r>
        <w:t>Having regard to the other documents in the file;</w:t>
      </w:r>
    </w:p>
    <w:p>
      <w:r>
        <w:t>Heard the rapporteur, the general rapporteur, the Government Commissioner, and the representative of the Guillet firm;</w:t>
      </w:r>
    </w:p>
    <w:p>
      <w:r>
        <w:t>Considering that the Minister of State, Minister of Economy, Finance and Budget, referred to the Competition Council practices implemented in the sector of insured expertise in industrial and commercial risks;</w:t>
      </w:r>
    </w:p>
    <w:p>
      <w:r>
        <w:t>Considering that pursuant to Article 27 of the ordinance of December 1, 1986: "The Council cannot be seized of facts dating back more than three years if no act has been made to seek, establish, and sanction them"; that the Court of Appeal of Paris in a judgment of December 1, 1995 (société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 possible cause (...) for the suspension of its course"; that the Court of Cassation confirmed this decision in a judgment of July 8, 1997 (commercial, financial and economic chamber, judgment No. 1848 P);</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 xml:space="preserve">Single Article. - There is no need to continue the procedure.  </w:t>
        <w:br/>
        <w:t xml:space="preserve">Deliberated, on the oral report of Ms. Irène Luc, by Mr. Barbeau, President, and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