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https://www.autoritedelaconcurrence.fr/fr/decision/relative-la-situation-de-la-concurrence-dans-le-secteur-des-carburants-aviation</w:t>
      </w:r>
    </w:p>
    <w:p>
      <w:r>
        <w:t>Pages translated : 4</w:t>
      </w:r>
    </w:p>
    <w:p/>
    <w:p>
      <w:r>
        <w:rPr>
          <w:b/>
        </w:rPr>
        <w:t>[Pages 1–3]</w:t>
      </w:r>
    </w:p>
    <w:p>
      <w:r>
        <w:t xml:space="preserve">RÉPUBLIQUE FRANÇAISE  </w:t>
        <w:br/>
        <w:t xml:space="preserve">Decision No. 90-D-22 of June 26, 1990  </w:t>
        <w:br/>
        <w:t xml:space="preserve">regarding the situation of competition in the aviation fuel sector  </w:t>
        <w:br/>
        <w:t xml:space="preserve">The Competition Council,  </w:t>
        <w:br/>
        <w:t xml:space="preserve">Having regard to the letter registered on September 23, 1988, under number F 186, by which the Minister of State, Minister of Economy, Finance and Budget, referred to the Competition Council the practices of the Société de manutention de carburant aviation;  </w:t>
        <w:br/>
        <w:t xml:space="preserve">Having regard to Ordinance No. 86-1243 of December 1, 1986, concerning price and competition freedom, as amended, together with Decree No. 86-1309 of December 29, 1986, as amended, taken for its application;  </w:t>
        <w:br/>
        <w:t xml:space="preserve">Having regard to the observations of the Société de manutention de carburant aviation;  </w:t>
        <w:br/>
        <w:t xml:space="preserve">Having regard to the observations of the Government Commissioner;  </w:t>
        <w:br/>
        <w:t xml:space="preserve">Having regard to the other documents in the file;  </w:t>
        <w:br/>
        <w:t xml:space="preserve">The rapporteur, the general rapporteur, the Government Commissioner, and the parties heard;  </w:t>
        <w:br/>
        <w:t xml:space="preserve">Retains the findings (I) and adopts the decision (II) set forth below:  </w:t>
        <w:br/>
        <w:t xml:space="preserve">I. - FINDINGS  </w:t>
        <w:br/>
        <w:t xml:space="preserve">Exclusively used by jet aircraft, jet fuel is purchased by airlines, for each airport, at a 'boarded' price. Two of these buyers, Air France and Air Inter, hold a preeminent position. The quantities of jet fuel delivered to Roissy and Orly represent three-quarters of total consumption. Deliveries at Roissy airport are double those at Orly airport.  </w:t>
        <w:br/>
        <w:t>The six main oil companies operating in the national territory are present at Orly and Roissy. These are Shell, Esso, Elf, Mobil, Total, and BP. In 1986, they held 93.5% of the national market. They are the only ones present at Orly. At Roissy, they compete with Agip, Fina, and Texaco.</w:t>
      </w:r>
    </w:p>
    <w:p>
      <w:r>
        <w:t xml:space="preserve">At each airport, the companies sell the product at an overall price that includes boarding. This latter operation is carried out either individually by each company or through economic interest groups. However, the storage operations at the airport site and the transportation of jet fuel to delivery points, the only operations covered by this decision, require significant investments (oil networks, storage tanks, etc.). In France, it is traditionally the oil companies that undertake these investments. Thus, at Roissy and Orly, the main companies operating in France are grouped within a company with a capital of 7.2 million francs, the Société de manutention de carburant aviation (S.M.C.A.), to take charge of these investments.  </w:t>
        <w:br/>
        <w:t xml:space="preserve">Aéroport de Paris, a public establishment, has granted part of its domain so that said company can carry out the necessary equipment. This concession grants S.M.C.A. a monopoly for the transportation and storage of jet fuel at Orly and Roissy. The six shareholders of S.M.C.A. are also its only clients at Orly.  </w:t>
        <w:br/>
        <w:t xml:space="preserve">Three non-shareholding oil companies, Agip, Fina, and Texaco, use S.M.C.A.'s facilities at Roissy. These companies are referred to as 'passers', a designation that distinguishes them from other companies that are both clients and shareholders of S.M.C.A. The market share of these passers at Roissy airport increased from 10% and 17% in 1985 to 14% in 1987.  </w:t>
        <w:br/>
        <w:t xml:space="preserve">In return for its monopoly, S.M.C.A. must ensure neutrality and equal treatment among users. Any oil company must be able to become a shareholder of S.M.C.A. as long as it meets the essential technical conditions. The specifications to which S.M.C.A. is subject require, in addition to this capital opening, a single price scale.  </w:t>
        <w:br/>
        <w:t xml:space="preserve">In 1983, S.M.C.A. established a declining tariff at Roissy. As a result, the passer operating at that time at Roissy, the company Fina, paid an average price 8 to 9% higher than the average price paid by the shareholder clients.  </w:t>
        <w:br/>
        <w:t xml:space="preserve">Moreover, the average prices charged at Roissy are 40% higher than those charged at Orly, an airport where passers are absent. S.M.C.A.'s profits come 90% from Roissy, while this airport only represents 63% of the volumes handled by the company.  </w:t>
        <w:br/>
        <w:t xml:space="preserve">II. - IN LIGHT OF THE ABOVE FINDINGS, THE COMPETITION COUNCIL  </w:t>
        <w:br/>
        <w:t>Considering that the Société de manutention de carburant aviation (S.M.C.A.), whose capital is equally held by the six main oil companies operating in the national territory (Shell, Esso, Elf, Mobil, BP, Total), benefits, at Orly and Roissy airports, from a concession to occupy the domain of Aéroports de Paris, a public establishment of the State; that it holds a monopoly on the transportation and storage facilities for jet fuel at these two sites; that all oil companies are therefore required to use said facilities for supplying their clients;</w:t>
      </w:r>
    </w:p>
    <w:p>
      <w:r>
        <w:t xml:space="preserve">Considering, in the first place, that the price differentiation practiced by S.M.C.A. between the Orly and Roissy airports for the storage and transportation of jet fuel does not constitute discrimination intended to or capable of distorting competition among oil companies; indeed, each airport constitutes a distinct market for storage and handling operations, as the services offered at different airports are not substitutable for airlines given the constraints imposed on them; furthermore, it follows from the case file that the fixed investments necessary for carrying out these operations are not identical at Orly and Roissy and that they were not made at the same time;  </w:t>
        <w:br/>
        <w:t xml:space="preserve">Considering, in the second place, that it is not established that the declining scale based on the quantities handled resulting from the scale applied by S.M.C.A. for Roissy airport constitutes discrimination intended to or capable of abusively limiting competition between S.M.C.A. shareholders and the 'passers'; that if the passers, delivering smaller quantities of jet fuel than the shareholders of S.M.C.A., may be led to pay more per unit than the latter, the principle of a declining scale can be justified by the existence of fixed costs associated with the services provided to each client regardless of the quantities of jet fuel they deliver; that this declining scale remains low, the maximum gap between the client benefiting from the best conditions and the smallest client being around 8 to 9% of the services provided and its impact on the total cost of jet fuel delivered by the oil companies being only 0.5%; that finally this declining scale has not had the effect of limiting the growth of sales of companies delivering the smallest quantities, as evidenced by the fact that their shares in jet fuel deliveries at this airport increased between 1985 and 1990 at the expense of the share of companies that delivered, at the beginning of the period, the largest quantities;  </w:t>
        <w:br/>
        <w:t xml:space="preserve">Considering, in the third place, that an artificially high average level of the scale established by S.M.C.A. could, under certain circumstances and, in particular, if the capital of this company were closed, have the object or effect of abusively hindering the development of the passers and distorting competition between them and the oil companies that are shareholders of S.M.C.A.; indeed, since the average price of the scale is higher than S.M.C.A.'s costs, this price constitutes only part of a charge for S.M.C.A. shareholders, the profits of the latter being fully redistributed to them, while they constitute a total charge for the passers; that under these conditions, S.M.C.A. could, by abusively increasing the scale price, artificially reduce the relative competitiveness of the passers compared to that of its shareholders without these passers being able to remedy this situation;  </w:t>
        <w:br/>
        <w:t>But considering that the capital of S.M.C.A. is not closed, each of the passers having the possibility of entering the capital of this company on par with the other oil companies if they deem it advantageous, given the level of the scale applicable to all its clients; that the conditions for entering the capital of S.M.C.A., while involving a significant financial investment, depending on the replacement value of the equipment of this company both at Roissy and at Orly, cannot be considered discriminatory against passers; that furthermore, the documents in the file establish that the market share of the 'passers' at Roissy increased from 10% in 1985 to 13.8% in 1988 and to 16.2% for the first six months of 1989 at the expense of that of S.M.C.A. shareholders, the share of the company Fina, which had refused to become a shareholder of S.M.C.A., becoming moreover larger than that of the company Shell, which participates in the capital of S.M.C.A.; thus it is not established, in the circumstances of</w:t>
      </w:r>
    </w:p>
    <w:p>
      <w:r>
        <w:rPr>
          <w:b/>
        </w:rPr>
        <w:t>[Pages 4–4]</w:t>
      </w:r>
    </w:p>
    <w:p>
      <w:r>
        <w:t xml:space="preserve">the case, that the establishment, by S.M.C.A., of a pricing scale applicable to the services offered at the Roissy airport had the purpose or could have the effect of abusively restricting competition between the carriers and its shareholders. </w:t>
        <w:br/>
        <w:t xml:space="preserve">Decides: </w:t>
        <w:br/>
        <w:t xml:space="preserve">Single Article. - It is not established that S.M.C.A. has violated the provisions of Article 8 of Ordinance No. 86-1243 of December 1, 1986. </w:t>
        <w:br/>
        <w:t xml:space="preserve">Deliberated in section on the report of Mr. Schwartz in its session of June 26, 1990, where were present: </w:t>
        <w:br/>
        <w:t xml:space="preserve">Mr. Béteille, Vice-President, presiding; </w:t>
        <w:br/>
        <w:t xml:space="preserve">Messrs. Flécheux, Fries, Ms. Lorenceau, Mr. Schmidt, members. </w:t>
        <w:br/>
        <w:t xml:space="preserve">The General Rapporteur, The Vice-President, presiding the session,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