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https://www.autoritedelaconcurrence.fr/fr/decision/relative-la-situation-de-la-concurrence-dans-le-secteur-du-materiel-dirrigation-dans-le</w:t>
      </w:r>
    </w:p>
    <w:p>
      <w:r>
        <w:t>Pages translated : 7</w:t>
      </w:r>
    </w:p>
    <w:p/>
    <w:p>
      <w:r>
        <w:rPr>
          <w:b/>
        </w:rPr>
        <w:t>[Pages 1–3]</w:t>
      </w:r>
    </w:p>
    <w:p>
      <w:r>
        <w:t xml:space="preserve">COMPETITION COUNCIL  </w:t>
        <w:br/>
        <w:t xml:space="preserve">Decision No. 00-D-74 of January 23, 2001  </w:t>
        <w:br/>
        <w:t xml:space="preserve">regarding the state of competition in the irrigation equipment sector  </w:t>
        <w:br/>
        <w:t xml:space="preserve">within the area granted to the National Company for the Development  </w:t>
        <w:br/>
        <w:t>of the Bas-Rhône and Languedoc Region (CNARBRL)</w:t>
      </w:r>
    </w:p>
    <w:p>
      <w:r>
        <w:t xml:space="preserve">The Competition Council (section II),  </w:t>
        <w:br/>
        <w:t xml:space="preserve">Having regard to the letter registered on January 24, 1994, under number F 656, by which the Minister of Economy referred to the Competition Council practices implemented by the National Company for the Development of the Bas-Rhône and Languedoc Region (CNARBRL) in the irrigation equipment trading sector;  </w:t>
        <w:br/>
        <w:t xml:space="preserve">Having regard to Book IV of the Commercial Code and Decree No. 86-1309 of December 29, 1986, as amended, taken for the application of Ordinance No. 86-1243 of December 1, 1986;  </w:t>
        <w:br/>
        <w:t xml:space="preserve">Having regard to the observations presented by the Government Commissioner and CNARBRL;  </w:t>
        <w:br/>
        <w:t xml:space="preserve">Having regard to the other documents in the file;  </w:t>
        <w:br/>
        <w:t xml:space="preserve">The rapporteur, the substitute rapporteur, the Government Commissioner, and CNARBRL heard during the session of November 21, 2000;  </w:t>
        <w:br/>
        <w:t>Adopts the decision based on the findings (I) and the reasons (II) set out below:</w:t>
      </w:r>
    </w:p>
    <w:p>
      <w:r>
        <w:t xml:space="preserve">I. – Findings  </w:t>
        <w:br/>
        <w:t xml:space="preserve">A. - The products in question  </w:t>
        <w:br/>
        <w:t>There are two main categories of irrigation equipment: on the one hand, mobile equipment which includes three types of sprinkler devices, "reels" which allow for the irrigation of a large area using a single device, "full coverage" which ensures simultaneous irrigation of a large area, and "pivots" which irrigate extensive areas uniformly; on the other hand, fixed equipment which includes both micro-irrigation (drip), mainly used for market gardening and horticulture, and buried equipment for agricultural, urban, or private use.</w:t>
      </w:r>
    </w:p>
    <w:p>
      <w:r>
        <w:t xml:space="preserve">B. - The activities of CNARBRL  </w:t>
        <w:br/>
        <w:t>CNARBRL was established in 1955, in the form of a mixed-economy public limited company. Its capital is divided into category A shares, belonging to public legal entities, including the National Agricultural Credit Fund, the departments of Gard and Hérault, municipalities, chambers of agriculture, and chambers of commerce, and into category B shares, which may belong either to private individuals or to public legal entities. Before its restructuring in 1992/1993, this Company held, through its main subsidiary, the holding company SETI SA, several companies, including Irrifrance Cofadsi, Bancilhon, Ferbo Cofadsi, and Irritec, as well as numerous stakes in other companies.</w:t>
      </w:r>
    </w:p>
    <w:p>
      <w:r>
        <w:t xml:space="preserve">1. The activities of CNARBRL before its restructuring  </w:t>
        <w:br/>
        <w:t xml:space="preserve">The main purpose of CNARBRL is "to contribute to the development, equipment, and economic development of Languedoc-Roussillon." Its activities have been defined by several successive interministerial mission letters, notably that of April 6, 1990, which governed its various functions at the time of the noted facts.  </w:t>
        <w:br/>
        <w:t xml:space="preserve">The Company's interventions for all works, studies, or advice carried out on behalf of both public and private law structures are organized and divided between "essential activities" and "autonomous activities." Essential activities are those that can benefit from specific state aid financed from credits opened in chapter 61-84 of major regional developments of the budget of the Ministry of Agriculture and Forestry. They revolve around two functions: "a general mission of water management in the Languedoc-Roussillon region, allowing it to take all initiatives aimed at improving the security, supply, and enhancement of water resources" and "a mission to develop the most fragile rural areas of Languedoc-Roussillon."  </w:t>
        <w:br/>
        <w:t xml:space="preserve">In addition to its essential activities, CNARBRL may, within the framework of autonomous actions, intervene "to enhance and develop its expertise," within its statutory perimeter, for all programs financed by the State, the local authorities of Languedoc-Roussillon, the EEC, or public or private third parties, which do not call for co-financing from credits of chapter 61-84 of major regional developments; it may also extend this activity to other French regions, at the request of local, departmental, or regional authorities or public or private third parties, and abroad, if necessary, in association with other organizations, including other regional development companies. The aforementioned mission letter specifies that "within the framework of its autonomous activities, the Company acts as a private law company subject to the competitive market regime."  </w:t>
        <w:br/>
        <w:t xml:space="preserve">Thus, under its statutes, CNARBRL developed a sales activity for mobile irrigation equipment in the departments of the Languedoc-Roussillon region, namely Gard, Hérault, Lozère, Aude, and Pyrénées-Orientales. Sales of mobile irrigation equipment were subsidized by public funds allocated to it.  </w:t>
        <w:br/>
        <w:t xml:space="preserve">Indeed, CNARBRL obtained approval from the Minister of Agriculture for the implementation of subsidized acquisition programs for irrigation equipment. In this context, it grants subsidies of up to 30% of the amount of investments under the following conditions: being a farmer, entering into an irrigation contract with the Company, and investing at least 7,500 F.  </w:t>
        <w:br/>
        <w:t>Furthermore, the Company subsidizes the acquisition of fixed irrigation equipment at a rate of 30%, when buyers are located within its statutory perimeter. Unlike mobile equipment, it does not market this type of equipment.</w:t>
      </w:r>
    </w:p>
    <w:p>
      <w:r>
        <w:t xml:space="preserve">2. The activities of CNARBRL after its restructuring  </w:t>
        <w:br/>
        <w:t xml:space="preserve">The restructuring of CNARBRL took place in 1992 and 1993 and consisted of separating activities related to its public mission from commercial-type activities. From now on, the Company is organized into a group comprising three subsidiaries: "BRL Exploitation," for the operation and maintenance of hydraulic works, "BRL Engineering," for engineering, technical studies, and consulting, and "BRL natural spaces," for green space, nursery, and forestry works. Each of these subsidiaries is intended to welcome private partners with a stake ranging from 34% to 49%.  </w:t>
        <w:br/>
        <w:t xml:space="preserve">The parent company, BRL, of which public authorities are majority shareholders, owns the hydraulic works, is responsible for the public mission of development, the "holding" function of the subsidiaries, certain service provisions for these subsidiaries, the burden of debt, as well as all diversified activities intended to be liquidated.  </w:t>
        <w:br/>
        <w:t>Regarding the sale of irrigation equipment, Mr. Jean-Pierre Nicol, a member of the management board, director of regional development of CNARBRL, stated on July 1, 1998: "Currently, BRL has a subsidiary, BRL Exploitation, which has as a secondary activity the sale of irrigation equipment. This activity does not benefit from any subsidy. Its turnover for the sale of irrigation equipment amounted to 4,789,000 F in 1997. Suppliers have no legal or financial ties with BRL, given its restructuring in 1992-1993."</w:t>
      </w:r>
    </w:p>
    <w:p>
      <w:r>
        <w:t xml:space="preserve">C. - The markets in question  </w:t>
        <w:br/>
        <w:t xml:space="preserve">Two markets are concerned: that of hydraulic development in the Languedoc-Roussillon region and that of the sale of mobile irrigation equipment in this region.  </w:t>
        <w:br/>
        <w:t xml:space="preserve">On the first market, CNARBRL has, within the framework of its "essential activities," a local monopoly on the distribution of water and hydraulic development.  </w:t>
        <w:br/>
        <w:t xml:space="preserve">On the second market, the Company, which is responsible for granting subsidies awarded by the State, held at the time of the noted practices, through its subsidiaries, the following market shares:  </w:t>
        <w:br/>
        <w:t xml:space="preserve">Regarding reels, for the period from October 1, 1990, to September 30, 1991, the number of units sold by the company Irrifrance Cofadsi was 1,591, by the company Bancilhon 340, and by the company Ferbo 140, totaling 2,071 units sold for the BRL group and a market share of 44.5%, while the share of its competitors ranged from 11.8% to 4.3%.  </w:t>
        <w:br/>
        <w:t xml:space="preserve">As for pivots, from September 1990 to the end of July 1991, the sales of the BRL group companies, Irrifrance Cofadsi/Irritec, represented 46% of the national market, with competition represented by American companies (Lindsay, Valmont, Lockwood, Rienke) and French companies (Perrot and IIE).  </w:t>
        <w:br/>
        <w:t>For full coverage, the market share of the BRL group companies (Irrifrance Cofadsi and Bancilhon) was, from September 1990 to the end of July 1991, 51%, its main competitors being the company Kulker with 18% of the national market and the company MPSA with 16%, other competitors being the Spanish company Champsa and Italian companies.</w:t>
      </w:r>
    </w:p>
    <w:p>
      <w:r>
        <w:t xml:space="preserve">D. - The practices noted  </w:t>
        <w:br/>
        <w:t xml:space="preserve">1. Regarding the purchase of equipment  </w:t>
        <w:br/>
        <w:t xml:space="preserve">To purchase the mobile irrigation equipment that it resold to farmers meeting the conditions for the 30% subsidy, CNARBRL used the restricted tender procedure.  </w:t>
        <w:br/>
        <w:t xml:space="preserve">The minutes of the bid opening drawn up following the call for tenders for the supply of mobile irrigation equipment on October 17, 1990, show that the following suppliers were selected:  </w:t>
        <w:br/>
        <w:t xml:space="preserve">lot no. 1: pipes and accessories: companies Irrifrance and Perrot;  </w:t>
        <w:br/>
        <w:t xml:space="preserve">lot no. 2: sprinklers: companies Kulker and Rolland;  </w:t>
        <w:br/>
        <w:t xml:space="preserve">lot no. 3: flexible pipes: the commission recorded the proposal from Bordet establishments, CNARBRL having to study the quantities to order based on its needs;  </w:t>
        <w:br/>
        <w:t xml:space="preserve">lot no. 4: reels: companies Bancilhon, Irrifrance, Irrimec, Kulker, and Perrot. It is specified in the minutes that: "farmers will make their choice mainly based on the specificity of their technical problems and for some, the proximity of after-sales service";  </w:t>
        <w:br/>
        <w:t xml:space="preserve">lot no. 5: full coverage: four suppliers, the companies Bancilhon, Irrifrance, Kulker, and MPSA proposed full coverage in polyethylene and one supplier, the company Aqua d’Oc, proposed full coverage in PVC. The commission decided to "test the MPSA full coverage with some farmers during the next irrigation campaign." As for the other suppliers whose equipment had correct pressure resistance characteristics, they were retained.  </w:t>
        <w:br/>
        <w:t xml:space="preserve">The minutes of the bid opening drawn up following the call for tenders on October 17, 1991, show that the commission selected the following suppliers:  </w:t>
        <w:br/>
        <w:t xml:space="preserve">lot no. 1: pipes and accessories: the group Irrifrance Bancilhon and the company Perrot. The minutes mention: "The two suppliers make very similar offers, and both types of equipment are used in our areas, the commission decides to retain both proposals";  </w:t>
        <w:br/>
        <w:t xml:space="preserve">lot no. 2: sprinklers: the company Rolland for brass sprinklers, the group Irrifrance Bancilhon for delrin sprinklers;  </w:t>
        <w:br/>
        <w:t xml:space="preserve">lot no. 3: flexible irrigation pipes diameter 20/25: the company Bordet;  </w:t>
        <w:br/>
        <w:t xml:space="preserve">lot no. 4: reels: the minutes indicate: "the commission decides to retain as in previous years all proposals (group Irrifrance-Bancilhon, Irrimec, Kulker, and Perrot) and to adapt the request to technical constraints";  </w:t>
        <w:br/>
        <w:t xml:space="preserve">lot no. 5: full coverage: the group Irrifrance-Bancilhon for supplies in aluminum and polyethylene and the company Aqua d’Oc also for supplies in polyethylene were retained.  </w:t>
        <w:br/>
        <w:t xml:space="preserve">As of September 20, 1991, the distribution of purchases of irrigation equipment among the different suppliers was as follows: Irrifrance Cofadsi 54%, Bancilhon 24%, Perrot 9%, Aqua d’Oc 6%, Irrimec 1%, Kulker 1%, and other suppliers 6%. Thus, in 1991, the BRL Company primarily turned to the companies in its group: Irrifrance Cofadsi and Bancilhon.  </w:t>
        <w:br/>
        <w:t>The priority given by CNARBRL, in the choice of its suppliers, to the company Irrifrance Cofadsi, is reinforced by the way the downstream commercial network of this latter company operated. Thus, on September 20, 1991, the general director of the company Irrifrance Cofadsi stated: "We have no direct customers, except for the Bas-Rhône Languedoc Company which could be considered a dealer." On October 18, 1991, the sales director of the same company added: "In the Bas-Rhône Languedoc area, we have only two resellers, the companies Vidal in Redessan (30) and Hydrasol in Servian (34), with whom we have a protocol agreement regarding the after-sales service of the equipment sold to CNARBRL."</w:t>
      </w:r>
    </w:p>
    <w:p>
      <w:r>
        <w:t xml:space="preserve">2. Regarding the discount policy  </w:t>
        <w:br/>
        <w:t xml:space="preserve">It results from the sales prices of mobile irrigation equipment of the BRL Company that in 1990, 1991, and 1992 it granted quantity discounts to be deducted from the base prices which were variable according to the categories of equipment. The rate of these discounts was:  </w:t>
        <w:br/>
        <w:t xml:space="preserve">20% on pipes and accessories;  </w:t>
        <w:br/>
        <w:t xml:space="preserve">5% on full coverage in 1991 and 15% in 1990 and 1992, increased by 4% for an installation covering five to ten hectares, by 6% for those covering ten to twenty hectares, and beyond twenty hectares, by 8%;  </w:t>
        <w:br/>
        <w:t xml:space="preserve">10% on Irrifrance reels in 1990, 1991, and 1992;  </w:t>
        <w:br/>
        <w:t>15% on Kulker reels in 1990, 17% in 1991, and 18% in 1992;</w:t>
      </w:r>
    </w:p>
    <w:p>
      <w:r>
        <w:rPr>
          <w:b/>
        </w:rPr>
        <w:t>[Pages 4–6]</w:t>
      </w:r>
    </w:p>
    <w:p>
      <w:r>
        <w:t>0% on Irrimec reels in 1991 and 7% in 1992. According to the BRL Company, these different discounts based on brands were justified by the conditions granted by the suppliers. The higher the discount granted by the supplier, the greater the discount offered by the Company. However, these justifications are contradicted by the minutes of the bid opening drawn up following the BRL Company's call for tenders for the supply of mobile irrigation equipment dated October 17, 1990, which includes a comparative table of offers made by suppliers for reels with very similar hydraulic characteristics and shows discounts of around 30% for Kulker, 25% for Irrifrance, and 21% for Irrimec.</w:t>
      </w:r>
    </w:p>
    <w:p>
      <w:r>
        <w:t>E. - The grievances notified</w:t>
      </w:r>
    </w:p>
    <w:p>
      <w:r>
        <w:t>Based on the practices described above, two grievances have been notified to CNARBRL:</w:t>
      </w:r>
    </w:p>
    <w:p>
      <w:r>
        <w:t>1. For having, on the one hand, abused, in the market for the sale of mobile irrigation equipment on which it exercised ancillary activities, the dominant position it held by favoring as suppliers of mobile irrigation equipment the companies of its group, the SA Irrifrance Cofadsi and Bancilhon, practices having the object and effect of distorting competition and which, consequently, are prohibited by the provisions of 1 of Article 8 of the ordinance of December 1, 1986, now Article L. 420-2 of the Commercial Code;</w:t>
      </w:r>
    </w:p>
    <w:p>
      <w:r>
        <w:t>2. For having, on the other hand, abused the dominant position it held in the market for the sale of mobile irrigation equipment, by granting a 0% discount in its 1991 price list on Irrimec reels, while Irrifrance and Kulker reels benefited from quantity discounts of 10% and 17%, thus treating the company Irrimec in a discriminatory manner, a practice having the object and being likely to have the effect of distorting competition and which is, consequently, prohibited by the provisions of 1 of Article 8 of the ordinance of December 1, 1986, now Article L. 420-2 of the Commercial Code.</w:t>
      </w:r>
    </w:p>
    <w:p>
      <w:r>
        <w:t>II. - Based on the preceding findings, the Council,</w:t>
      </w:r>
    </w:p>
    <w:p>
      <w:r>
        <w:t>On the competence of the Competition Council</w:t>
      </w:r>
    </w:p>
    <w:p>
      <w:r>
        <w:t>Considering that CNARBRL argues that the practices it is accused of fall within the implementation of its "essential activities" carried out in its capacity as a regional development company, public service delegate; that it asserts that its activity of selling irrigation equipment benefits from credits from chapter 61-84 of major regional developments in the budget of the Ministry of Agriculture and Forestry and cannot therefore be classified as a production, distribution, or service activity within the meaning of Article 53 of the ordinance of December 1, 1986, now Article L. 410-1 of the Commercial Code; that consequently, the Competition Council is incompetent to assess the facts referred to in the notification of grievances;</w:t>
      </w:r>
    </w:p>
    <w:p>
      <w:r>
        <w:t>Considering that, by a decision dated October 18, 1999, ADP, the Conflict Tribunal specified that "(...) While public entities may be sanctioned by the Competition Council acting under the control of the judicial authority to the extent that they carry out production, distribution, or service activities, the decisions by which these entities fulfill their public service mission using public power prerogatives fall under the jurisdiction of the administrative court to assess their legality, and, where appropriate, to rule on the liability incurred by public entities (...)";</w:t>
      </w:r>
    </w:p>
    <w:p>
      <w:r>
        <w:t>Considering that, in this particular case, the activity concerned by the practices relates to the purchase and resale of irrigation equipment; that it therefore constitutes a distribution activity referred to in Article L. 410-1 of the Commercial Code; that the fact that the acquisition of this equipment by farmers is subject to a subsidy that passes through CNARBRL does not change its nature as a distribution activity; that CNARBRL does not have and does not exercise, in this regard, any public power prerogative;</w:t>
      </w:r>
    </w:p>
    <w:p>
      <w:r>
        <w:t>Considering, therefore, that the Competition Council is competent to examine the noted practices;</w:t>
      </w:r>
    </w:p>
    <w:p>
      <w:r>
        <w:t>On the violation of Article 6 of the European Convention on Human Rights</w:t>
      </w:r>
    </w:p>
    <w:p>
      <w:r>
        <w:t>Considering that CNARBRL asserts that the practices examined date back to a period between 1988 and 1991; that the administrative investigation report was established on January 9, 1992, and that two years later, on January 24, 1994, the Minister of Economy referred the matter to the Competition Council; that it was only on June 17, 1999, that it received the notification of grievances; that these dates establish the violation of the obligation to sanction the alleged facts within a reasonable time, prescribed by the provisions of Article 6 of the European Convention on Human Rights;</w:t>
      </w:r>
    </w:p>
    <w:p>
      <w:r>
        <w:t>But considering, on the one hand, that assuming the case was not heard within a reasonable time, the sanction attached to this circumstance is the payment of compensation for any damage suffered and not the nullity of the procedure; that, on the other hand, the Company in question only mentions difficulties related to its own organization and does not demonstrate how the duration of the procedure would have prevented it from effectively exercising its defense;</w:t>
      </w:r>
    </w:p>
    <w:p>
      <w:r>
        <w:t>On the prescription</w:t>
      </w:r>
    </w:p>
    <w:p>
      <w:r>
        <w:t>Considering that CNARBRL claims that the prescription is acquired in this case, since the Council was seized on January 24, 1994, and the notification of grievances was only sent to it on June 17, 1999, more than five years after the referral;</w:t>
      </w:r>
    </w:p>
    <w:p>
      <w:r>
        <w:t>But considering that, by letter dated December 13, 1996, the president of CNARBRL was summoned by the rapporteur for a hearing set for December 20, 1996; that on December 19, 1996, the president of the management board of the Company wrote to the rapporteur stating: "...it will not be materially possible for us to be present at this hearing..."; that the latter drew up a report of absence noting, on December 20, 1996, that the interested party did not appear at the headquarters of the Competition Council; that these various acts aim at the investigation, ascertainment, and prosecution of the incriminated facts and have, therefore, interrupted the three-year prescription provided for in Article L. 462-7 of the Commercial Code; that consequently, the Council is entitled to examine the facts that occurred between January 24, 1991, and January 24, 1994, the day of its referral;</w:t>
      </w:r>
    </w:p>
    <w:p>
      <w:r>
        <w:t>On the minutes</w:t>
      </w:r>
    </w:p>
    <w:p>
      <w:r>
        <w:t>Considering, first, that in the notification of grievances, the rapporteur considered that the statements of Mr. Veyrenc, dated May 2, 1990, had not been collected under regular conditions and deemed that the minutes recording his statements should be excluded from the procedure; that CNARBRL argues that the nullity thus noted by the rapporteur leads to the nullity of all subsequent investigation and procedural acts;</w:t>
      </w:r>
    </w:p>
    <w:p>
      <w:r>
        <w:t>But considering that, as the Government Commissioner observed in his comments on the notification of grievances, the person heard, in this particular case, was not implicated, but was a witness to dysfunctions that he came to denounce to the investigators; that under the jurisprudence of the Court of Cassation (Commercial Chamber - June 1, 1999 - SARL Normandie Béton and others), the investigating agents who collect such statements do not have to specify in the minutes that they informed the person heard of the purpose of the investigation; that consequently, the aforementioned minutes must be maintained within the framework of the present procedure;</w:t>
      </w:r>
    </w:p>
    <w:p>
      <w:r>
        <w:t>Considering, secondly, that CNARBRL argues that the other minutes established during the investigation are irregular, insofar as they contain only the pre-printed mention: "we have justified our quality and indicated the purpose of our investigation," without any of them specifying the purpose of the investigation; that consequently, all the minutes should be declared null and excluded from the file, as well as all accompanying documents;</w:t>
      </w:r>
    </w:p>
    <w:p>
      <w:r>
        <w:t>Considering that, while the officials authorized by the Minister of Economy to conduct the necessary investigations under the ordinance of December 1, 1986 can carry out all research and verifications on the incriminated practices without communicating the procedure to the persons heard, the preliminary investigation they conduct cannot have the effect of irreparably compromising the exercise of the rights of defense;</w:t>
      </w:r>
    </w:p>
    <w:p>
      <w:r>
        <w:t>Regarding the minutes of Messrs. Laborde, Rouanet, Domeck, and Bardelli</w:t>
      </w:r>
    </w:p>
    <w:p>
      <w:r>
        <w:t>Considering that the minutes of statements and inventory of documents communicated by Mr. André Laborde, General Director of the company Irrifrance Cofadsi, dated September 20, 1991, by Mr. Jean-Claude Rouanet, Commercial Director of the company Irrifrance, dated October 18, 1991, by Mr. Domeck, Deputy General Director of the company Kulker, dated October 17, 1991, as well as the minutes of the hearing of Mr. Bardelli, Director of the Sica d'Irrigation de l'Ouest Audois, dated August 28, 1991, contain a pre-printed mention stating that the investigators informed the persons questioned of the purpose of the investigation, without this purpose being further specified;</w:t>
      </w:r>
    </w:p>
    <w:p>
      <w:r>
        <w:t>But considering that, as the Paris Court of Appeal specified, notably in a ruling dated June 15, 1999 (SA Languedocienne de travaux publics et de génie civil [Solatrag] and others), while the pre-printed formula stating that the investigators justified their quality and indicated the purpose of their investigation does not, in itself, allow verification that the legal and regulatory requirements have been respected, since they do not concretely mention the purpose and scope of the investigation, a company is not, however, entitled to challenge the regularity of the minutes concerning another company that has never disputed having been validly informed of the purpose of the investigation and the nature of the investigations conducted; that in this case, none of the companies whose representatives were thus heard contested the conditions under which the investigations were conducted; that consequently, the aforementioned minutes must be considered regular;</w:t>
      </w:r>
    </w:p>
    <w:p>
      <w:r>
        <w:t>Regarding the minutes of Messrs. Guiot and Feriaud of CNARBRL</w:t>
      </w:r>
    </w:p>
    <w:p>
      <w:r>
        <w:t>Considering that the minutes of inventory of documents communicated by Mr. Guiot, engineer in the service of development and irrigation of CNARBRL, dated July 19, 1991, contain the pre-printed mention "We have justified our quality and indicated the purpose of our investigation" and indicate: "At our request, Mr. Guiot spontaneously provides us with copies of the documents listed below:</w:t>
        <w:br/>
        <w:t>- Call for applications 1988, 1989, and 1990;</w:t>
        <w:br/>
        <w:t>- Minutes of public calls for applications 1988, 1989, 1990;</w:t>
        <w:br/>
        <w:t>- Minutes of bid openings 1988, 1989, 1990";</w:t>
        <w:br/>
        <w:t>that the second minutes of inventory of documents communicated by Mr. Guiot, dated September 17, 1991, contain the same pre-printed mention and state: "At our request, Mr. Guiot spontaneously provides us with:</w:t>
        <w:br/>
        <w:t>- Supply contract for irrigation equipment to Mrs. Vu Sao</w:t>
        <w:br/>
        <w:t>- Supply contract for irrigation equipment to Mr. Henri Pierre</w:t>
        <w:br/>
        <w:t>- Circular and price list of GIE/SOBRL in 1991</w:t>
        <w:br/>
        <w:t>- GIE SOBRL blank model of water subscription contract</w:t>
        <w:br/>
        <w:t>- Blank water distribution contract, model A</w:t>
        <w:br/>
        <w:t>- Blank water distribution contract model B</w:t>
        <w:br/>
        <w:t>- Extract from contract no. 2075 with PERROT France</w:t>
        <w:br/>
        <w:t>- Contract no. 2090 with PERROT FRANCE</w:t>
        <w:br/>
        <w:t>- Contract no. 2074 with Irrifrance Cofadsi</w:t>
        <w:br/>
        <w:t>- Contract no. 2075 with KULKER</w:t>
        <w:br/>
        <w:t>- Contract no. 2076 with BANCILHON IRRIGATION EQUIPEMENTS</w:t>
        <w:br/>
        <w:t>- Contract no. 2077 with AQUA D'OC";</w:t>
        <w:br/>
        <w:t>Finally, the minutes of inventory of documents communicated by Mr. Feriaud, engineer in the service of developments of CNARBRL, dated November 28, 1991, contain the same pre-printed mention and indicate that the interested party spontaneously provided a copy of the following documents:</w:t>
        <w:br/>
        <w:t>"- draft modification of the criteria for awarding development contracts...;</w:t>
        <w:br/>
        <w:t>- call for tenders for the supply of mobile irrigation equipment dated October 17, 1991...;</w:t>
        <w:br/>
        <w:t>- 1992 BRL price list for mobile irrigation equipment...;</w:t>
        <w:br/>
        <w:t>- 1990 BRL price list for mobile irrigation equipment...";</w:t>
      </w:r>
    </w:p>
    <w:p>
      <w:r>
        <w:t>Considering that, while the proof of the obligation of loyalty can be sought in the statements of the minutes or in elements extrinsic to it, no extrinsic or intrinsic element to the minutes allows, in this case, to consider that this obligation has been respected; that indeed, neither the nature nor the content of the documents provided, which concerned calls for tenders as well as price lists, allow establishing that the interested parties knew that they were communicating documents within the framework of an investigation into the implementation of anti-competitive practices by CNARBRL in the irrigation equipment sector, or even that they could not be mistaken about the purpose of the investigators' investigations and the scope of the submission of these documents;</w:t>
      </w:r>
    </w:p>
    <w:p>
      <w:r>
        <w:t>Considering that the Government Commissioner argued in the session, on the one hand, that the documents provided by Messrs. Guiot and Feriaud are professional documents that should have been made available to the investigators and that, on the other hand, under Article L. 450-7 of the Commercial Code which specifies that: "investigators may, without being opposed by professional secrecy, access any document or element</w:t>
      </w:r>
    </w:p>
    <w:p>
      <w:r>
        <w:rPr>
          <w:b/>
        </w:rPr>
        <w:t>[Pages 7–7]</w:t>
      </w:r>
    </w:p>
    <w:p>
      <w:r>
        <w:t>information held by the services and establishments of the State and other public authorities," CNARBRL was required to provide these documents;</w:t>
      </w:r>
    </w:p>
    <w:p>
      <w:r>
        <w:t>But considering, firstly, that it follows from the case law of the Court of Appeal of Paris, and notably from a judgment dated May 12, 1998 (société Pompes Funèbres Générales Ile-de-France), that the professional nature or the mandatory character of the establishment and retention of documents provided, as well as the absence of a declaration accompanying this provision, are not, in themselves, sufficient to validate a report which, not containing the mention of the subject of the investigation, is tainted with irregularity; that the nature of the documents provided to the investigators by CNARBRL cannot be invoked to validate the aforementioned reports;</w:t>
      </w:r>
    </w:p>
    <w:p>
      <w:r>
        <w:t>Considering, secondly, that CNARBRL is a mixed economy company; that, while it may be considered as entrusted with a public service mission, it is not, however, a service or establishment of the State or another public authority; that, under these conditions, the provisions of Article L. 450-7 of the Commercial Code, which target the legal nature of the holders of documents and not their mission, are not applicable to it;</w:t>
      </w:r>
    </w:p>
    <w:p>
      <w:r>
        <w:t>Considering, under these conditions, that the aforementioned reports must be excluded from the procedure, as well as all documents communicated by the interested parties;</w:t>
      </w:r>
    </w:p>
    <w:p>
      <w:r>
        <w:t>Considering that, therefore, the elements remaining in the file do not constitute sufficient evidence to establish proof of the practices attributed to CNARBRL by the notification of grievances; that it is appropriate, consequently, to apply the provisions of Article L. 464-6 of the Commercial Code,</w:t>
      </w:r>
    </w:p>
    <w:p>
      <w:r>
        <w:t>Decides:</w:t>
      </w:r>
    </w:p>
    <w:p>
      <w:r>
        <w:t>Single Article: It is not established that CNARBRL has violated the provisions of Article L. 420-2 of the Commercial Code.</w:t>
      </w:r>
    </w:p>
    <w:p>
      <w:r>
        <w:t>Deliberated, on the report of Ms. de Mallmann, by Ms. Hagelsteen, president, Messrs. Nasse and Robin, members.</w:t>
      </w:r>
    </w:p>
    <w:p>
      <w: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