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https://www.autoritedelaconcurrence.fr/fr/decision/relative-la-situation-de-la-concurrence-dans-le-secteur-du-sucre</w:t>
      </w:r>
    </w:p>
    <w:p>
      <w:r>
        <w:t>Pages translated : 3</w:t>
      </w:r>
    </w:p>
    <w:p/>
    <w:p>
      <w:r>
        <w:rPr>
          <w:b/>
        </w:rPr>
        <w:t>[Pages 1–3]</w:t>
      </w:r>
    </w:p>
    <w:p>
      <w:r>
        <w:t>Decision No. 02-D-45 of July 18, 2002</w:t>
        <w:br/>
        <w:t>regarding the state of competition in the sugar sector</w:t>
        <w:br/>
        <w:t>The Competition Council (Section III A),</w:t>
        <w:br/>
        <w:t>Having regard to the letter registered on November 10, 1994, under number F 709, by which the Minister of the Economy referred to the Competition Council the state of competition in the sugar sector;</w:t>
        <w:br/>
        <w:t>Having regard to Book IV of the Commercial Code, Decree No. 86-1309 of December 29, 1986, as amended, setting the conditions for the application of Ordinance No. 86-1243 of December 1, 1986, and Decree No. 2002-689 of April 30, 2002, setting the conditions for the application of Book IV of the Commercial Code;</w:t>
        <w:br/>
        <w:t>Having regard to the judgment of the Court of Cassation (Commercial, Financial and Economic Chamber) of May 16, 1995, rejecting the appeals filed by the companies involved against an authorization order for inspection and seizure dated October 22, 1993;</w:t>
        <w:br/>
        <w:t>Having regard to the business secrecy decision No. 96-DSA-13 of October 3, 1996;</w:t>
        <w:br/>
        <w:t>Having regard to the observations presented by the companies Béghin-Say, Saint Louis Sucre, Gardel, Sucrière de la Réunion, Eurosucre, Debayser-Wiart-Desbief (DWD), C. Lanvin and by the Government Commissioner;</w:t>
        <w:br/>
        <w:t>Having regard to the other documents in the file;</w:t>
        <w:br/>
        <w:t>The rapporteur, the deputy general rapporteur, the Government Commissioner, and the representatives of the companies Béghin-Say, Saint Louis Sucre, Gardel, Sucrière de la Réunion, Sucrerie Bois Rouge, Eurosucre, DWD, C. Lanvin and Compagnie Intercontinentale heard during the session of May 14, 2002;</w:t>
        <w:br/>
        <w:t>Considering that Article L. 462-7 of the Commercial Code provides that "the Council cannot be seized of facts dating back more than three years if no act has been carried out aimed at their investigation, establishment or sanction";</w:t>
        <w:br/>
        <w:t>Considering that if, by a judgment of March 5, 1999, the Court of Appeal of Paris considered that the limitation period set by Article 27 of the Ordinance of December 1, 1986, which became Article L. 462-7 of the Commercial Code, was suspended with respect to the referring company, since it was unable to act to execute an interruptive act in the ongoing procedure before the Competition Council, and if, by another judgment dated October 12, 1999, it applied the same solution to the case of referral to the Council by the Minister responsible for the economy, these decisions were overturned by two judgments of the Court of Cassation, dated July 17, 2001, and February 26, 2002, respectively, rendered pursuant to Article L. 462-7 of the Commercial Code, on the grounds "that by ruling thus, by adding to the cited text a case of suspension of the limitation period that it does not provide for, the court of appeal violated it"; it follows that the facts submitted to the Competition Council are subject to a three-year limitation period from the date of referral, provided that no act aimed at their investigation, establishment, or sanction has been carried out subsequent to this referral or that three years have elapsed since the last interruptive act carried out subsequent to the referral;</w:t>
        <w:br/>
        <w:t>Considering that in this case, the Council was seized by the Minister of the Economy on November 10, 1994; that a statement of objections and a supplementary statement of objections were sent to the parties on January 27, 1997, and March 31, 1998, respectively; that the report was notified on September 26, 2001, that is, three years, five months, and twenty-six days after the supplementary statement of objections;</w:t>
        <w:br/>
        <w:t>Considering that, in the meantime, the counsel for the company Eurosucre sent a letter to the rapporteur dated September 14, 2000, registered with the Council on September 15, which is worded as follows: "Following our discussions, I confirm that my client, the company Eurosucre, does not intend to invoke business secrecy regarding the documents cited in support of the observations it submitted to the Council on April 1, 1977. Consequently, you may attach all the documents to your report";</w:t>
        <w:br/>
        <w:t>Considering, however, that this correspondence, which comes from the representative of one of the companies involved, and by which he, referring, moreover, not to a request from the rapporteur of which the file contains no written trace but to the "discussions" he had with the latter, "confirms" to him that the company Eurosucre will not invoke, with respect to the documents referred to in the letter, the provisions of Article 23 of the Ordinance of December 1, 1986, which became Article L. 463-4 of the Commercial Code, on business secrecy, does not constitute an act aimed at the investigation, establishment, or sanction of the practices submitted to the Council; that thus, and in the absence of any interruptive act carried out in the three years following the sending to the parties of the supplementary statement of objections of March 31, 1998, the limitation period was acquired as of March 31, 2001; that concerning the contracts retained by the statement of objections which could have given rise to continuous practices, for most of them, it is not established by the documents in the file that their application continued beyond March 31, 1998; that for those for which it is established that they continued beyond this date, which is the case, for example, of the contract entered into between Générale sucrière and Sucrerie Gardel SA, they cannot alone suffice to establish the existence of anti-competitive practices since the facts and circumstances that accompanied their conclusion, which would allow for clarification of their object and scope, cannot also be retained, as they are affected by the limitation period; that there is therefore no need to continue the procedure;</w:t>
        <w:br/>
        <w:t>DECIDES</w:t>
        <w:br/>
        <w:t>Sole Article - There is no need to continue the procedure.</w:t>
        <w:br/>
        <w:t>Deliberated on the oral report of Mr. Lavergne, by Ms. Hagelsteen, President, Ms. Pasturel, Vice-President, Mr. Jenny, Vice-President, and Mr. Robin, Member</w:t>
        <w:br/>
        <w:t>The Secretary of the Session,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