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https://www.autoritedelaconcurrence.fr/fr/decision/relative-la-situation-de-la-concurrence-en-matiere-de-negoce-des-tubes-en-polychlorure-de</w:t>
      </w:r>
    </w:p>
    <w:p>
      <w:r>
        <w:t>Pages translated : 5</w:t>
      </w:r>
    </w:p>
    <w:p/>
    <w:p>
      <w:r>
        <w:rPr>
          <w:b/>
        </w:rPr>
        <w:t>[Pages 1–3]</w:t>
      </w:r>
    </w:p>
    <w:p>
      <w:r>
        <w:t>COMPETITION COUNCIL</w:t>
        <w:br/>
        <w:t>Decision No. 99-D-09 of February 2, 1999</w:t>
        <w:br/>
        <w:t>regarding the competitive situation in the trade of polyvinyl chloride pipes</w:t>
        <w:br/>
        <w:t>The Competition Council (permanent commission),</w:t>
        <w:br/>
        <w:t>Considering the decision of May 14, 1996, by which the Competition Council took the initiative regarding the competitive situation in the trade of polyvinyl chloride pipes;</w:t>
        <w:br/>
        <w:t>Considering Ordinance No. 86-1243 of December 1, 1986, as amended, relating to price freedom and competition and Decree No. 86-1309 of December 29, 1986, as amended, taken for its application;</w:t>
        <w:br/>
        <w:t>Considering the observations presented by the Government Commissioner;</w:t>
        <w:br/>
        <w:t>Considering the other documents in the file;</w:t>
        <w:br/>
        <w:t>The rapporteur, the general rapporteur, and the Government Commissioner heard;</w:t>
        <w:br/>
        <w:t>Adopts the decision based on the findings (I) and the reasons (II) set forth below:</w:t>
        <w:br/>
        <w:t>The Competition Council took the initiative regarding the competitive situation in the trade of polyvinyl chloride pipes by a decision of May 14, 1996. Following this decision, the president of the Competition Council sent a request for a supplementary investigation to the Director General of Competition, Consumption, and Fraud Prevention to define the role of traders in the sector, particularly concerning the pricing methods set by manufacturers for PVC pipes. The Council rules following the investigation conducted based on the elements collected during this inquiry.</w:t>
        <w:br/>
        <w:t>I. - Findings</w:t>
        <w:br/>
        <w:t>A. - The sector</w:t>
        <w:br/>
        <w:t>1. The products</w:t>
        <w:br/>
        <w:t>Polyvinyl chloride resin is the raw material necessary for the production of pipes, the manufacturing of which has undergone several innovations since its inception in the early 1950s: the production of lightweight PVC pipes (1969), improvement of fire resistance (1977), development of cellular and hollow wall pipes (1980), and chlorinated pipes for hot water distribution, and more recently, programs for the implementation of recyclable products.</w:t>
      </w:r>
    </w:p>
    <w:p>
      <w:r>
        <w:t>PVC pipes are distinguished by their outer diameter expressed in millimeters, their thickness, the nominal pressure supported, expressed in bars, and their length, expressed in linear meters. French standards define the minimum dimensional and functional specifications applicable to PVC pipelines: these are respectively the NF mark, registered with AFNOR, the ATEC certification (technical opinion) issued by the CSTB (Scientific and Technical Center for Building), and the SP approval (public service) issued by the administration. Furthermore, unified technical documents (DTU) and technical specification sheets (CCT) apply to the implementation of different types of pipelines. These products are mainly used in building construction, sanitation, drinking water supply, irrigation, and cable protection. Users choose a product based on its technical characteristics: its crush resistance, impact resistance, and fire resistance, its outer diameter, thickness, nominal pressure, length, as well as its compliance with certain standards, certifications, or approvals. These different products have specific characteristics that make each of them particularly suitable for certain usage constraints and are not substitutable for one another.</w:t>
        <w:br/>
        <w:t>2. The stakeholders in the sector</w:t>
        <w:br/>
        <w:t>There are contrasting developments among the various segments of the PVC pipeline sector: from 1989 to 1992, the decline in demand from the construction and agriculture sectors was somewhat offset by new uses, particularly for sanitation.</w:t>
        <w:br/>
        <w:t>a) Demand</w:t>
        <w:br/>
        <w:t>The demand for PVC pipelines comes from distributors and end users. The profession distinguishes among distributors: large specialized traders, building materials traders, "public works traders," plumbing-sanitary traders, and large DIY stores. All traders would represent, according to the PVC Pipes and Fittings Syndicate (STR-PVC), the entirety of sales in pipes for construction, drinking water supply, and irrigation, as well as two-thirds of sales in pipes for sanitation. The most significant specialized traders number five and have substantial purchasing power against manufacturers. Among the specialized traders are the company Frans Bonhomme, which achieved a turnover of 1.7 billion francs in 1996, the company Pum Plastiques, with a turnover of 520 million francs in 1996 and which is a subsidiary of the Pum group, the group Descours &amp; Cabaud, with a turnover of 9 billion francs in 1996, the company Brossette BTI, with a turnover of 3.4 billion francs in 1996, and the regional group Hursin, whose subsidiary CPIB achieved a turnover of 70 million francs in 1995. PVC pipes represent only a very small amount of the turnover of specialized traders. These traders account for 35% of the sales of pipes for construction, drinking water supply, and irrigation, as well as 35% of the sales of pipes for sanitation. Building materials traders belong to large generalist groups, which negotiate their basic conditions at the national level but allow their regional branches to handle specific conditions, such as the subsidiary of the Poliet group, Point P, which is the largest member of the French Federation of Building Materials Trading. These traders account for 50% of the sales of pipes for construction, drinking water supply, and irrigation, as well as, overall, together with plumbing-sanitary traders, 30% of the sales of pipes for sanitation. Plumbing-sanitary traders are either national-sized commercial companies or purchasing groups bringing together smaller traders. The large specialized DIY stores (Bricorama, Castorama, Leroy-Merlin) source at different stages of the distribution circuit. These traders account for 15% of the sales of pipes for construction, drinking water supply, and irrigation. Finally, "public works" traders are often linked to installation companies or project managers. End users are divided into two main categories: construction and public works companies that install PVC pipelines and generally source from traders, less frequently from manufacturers (direct sales account for 35% of sales in pipes for sanitation), and public companies, SNCF, EDF-GDF, and especially France Télécom.</w:t>
        <w:br/>
        <w:t>b) Supply</w:t>
        <w:br/>
        <w:t>The structure of the supply is relatively concentrated. Six manufacturers, Alphacan, Pipelife France and its subsidiary France Tube, Seperef, Sotra Industries, Wavin, and Réhau Tubes produce more than 75% by volume of PVC pipes sold in France. Additionally, ten to fifteen companies present in other industrial sectors would produce PVC pipes as a secondary activity. Total sales of PVC pipes are around 160,000 to 180,000 tons per year in France, of which 43% are for construction, 24% for sanitation, 18% for drinking water supply and irrigation ("pressure"), and 8% for cable protection. These figures are expressed in "compact equivalent tons" (TEC), as the produced pipelines have different densities. There is uncertainty regarding the estimation of production from manufacturers not belonging to the professional syndicate, the PVC Pipes and Fittings Syndicate (STR-PVC), which can be estimated between 7% and 13% of the total. Imports account for approximately 20% of total PVC pipe sales. These uncertainties are primarily related to the number of stakeholders and also to the quality of the information collected. Indeed, due to the ease of access to manufacturing techniques for these pipes, there are many pipe manufacturers who engage in this activity as a secondary business and whose production is not accurately recorded. Furthermore, the categories in customs statistics (codes 39172310 and 39172399) are very general and do not distinguish based on the applications and uses of the pipelines. Imports have been steadily increasing for several years. Mainly from Germany, Italy, and the Benelux countries, these imports are distributed as follows: 49% for construction, 24% for sanitation, 19% for drinking water supply and irrigation, and 5% for cable protection. They are made by the traders themselves (Frans Bonhomme) or by import-export agents, such as Interplast, a company located in Monaco, which resells to traders. Traders consider that imported products, which would have represented, according to STR-PVC, 37 million tons in 1996 compared to 18 to 20 million tons between 1990 and 1992, are generally of inferior quality and do not meet French standards.</w:t>
        <w:br/>
        <w:t>B. - Observed practices</w:t>
      </w:r>
    </w:p>
    <w:p>
      <w:r>
        <w:rPr>
          <w:b/>
        </w:rPr>
        <w:t>[Pages 4–5]</w:t>
      </w:r>
    </w:p>
    <w:p>
      <w:r>
        <w:t>In general, traders set their prices based on those published by each of their suppliers, applying a high multiplier coefficient to then offer significant discounts to their clientele.</w:t>
      </w:r>
    </w:p>
    <w:p>
      <w:r>
        <w:t>Thus, the company Descours &amp; Cabaud provided various editions of its price lists from 1990 to 1995, which reveal that these prices are determined based on those of its suppliers, notably Alphacan, with prices affected by a constant multiplier coefficient within each product family. During the period, these coefficients experienced varied changes, which should be compared with the evolution of discounts granted by the company Alphacan. For instance, the 17% increase in the value of the coefficient on "pressure" pipes (from 1.895 to 2.23) of the company Descours &amp; Cabaud in 1992 corresponds to the cumulative rate of price increases through point adjustments made by suppliers since the publication of the previous price list (7% in September 1990, 5% in October 1990, and 5% in June 1991). The same applies for 1993, while very contrasting changes appear from 1994 onwards. As for the overall commercial margin, it has, considering the significant discounts granted to clientele, experienced a continuous downward trend since 1991. This same logic is followed by the Brossette group for the determination of its prices.</w:t>
      </w:r>
    </w:p>
    <w:p>
      <w:r>
        <w:t>The head of the "plastics" activity of the Pum group indicated that the determination of resale prices, based on the supplier price list, took into account several parameters, including the price levels practiced by other manufacturers and its own management criteria, such as the stock turnover rate of each item. Furthermore, it results from the tables provided by Pum Plastiques that, while the index of evolution of the supplier price list increases during price hikes made by pipe manufacturers, in proportions that generally correspond to the rates of increase, the index of evolution of the average weighted purchase price of pipes by Pum Plastiques rarely reflects a parallel evolution of actual purchase prices, which remain in many cases on a downward trend.</w:t>
      </w:r>
    </w:p>
    <w:p>
      <w:r>
        <w:t>No evidence collected has shown that traders sought price increases from their suppliers to boost their turnover and margin. On the contrary, the minutes of the meeting on May 18, 1995, of the commission responsible for relations with producers within the French Federation of Construction Material Trading indicate: "Passing on the increases resulting from raw material prices (PVC products). The trade faces difficulties in passing on the significant and abrupt increases of products to its clients. The issue will be addressed with the manufacturers."</w:t>
      </w:r>
    </w:p>
    <w:p>
      <w:r>
        <w:t>Moreover, all traders interviewed indicated that they themselves monitor the evolution of PVC resin prices, as well as the evolution of pipe prices, which they estimated to be in line with the variations of those prices. The investigation did not provide elements to establish that PVC pipe traders exerted pressure on manufacturers to obtain increases through price hikes rather than through reductions in the rates of discounts granted. Traders indicated that they represented, each, too small a share of the manufacturers' sales to have a notable influence on the conditions and modalities chosen by the latter to implement price increases.</w:t>
      </w:r>
    </w:p>
    <w:p>
      <w:r>
        <w:t>II. - Based on the preceding findings, the Council,</w:t>
      </w:r>
    </w:p>
    <w:p>
      <w:r>
        <w:t>On the observed practices,</w:t>
      </w:r>
    </w:p>
    <w:p>
      <w:r>
        <w:t>Considering that no evidence has proven that PVC pipe traders participated in any potential agreement aimed at obstructing the setting of prices by the free play of the PVC pipe market; that it follows from the above that it is not established that PVC pipe traders have implemented practices prohibited by the provisions of Article 7 of the ordinance of December 1, 1986; that it is therefore appropriate to apply Article 20 of the ordinance,</w:t>
      </w:r>
    </w:p>
    <w:p>
      <w:r>
        <w:t xml:space="preserve">Decides: </w:t>
        <w:br/>
        <w:t xml:space="preserve">Single Article. - There is no need to continue the proceedings. </w:t>
        <w:br/>
        <w:t xml:space="preserve">Deliberated, on the report of Mr. Bernard Lavergne, by Mrs. Hagelsteen, president, Mrs. Pasturel, vice-president, Messrs. Cortesse and Jenny, vice-presidents. </w:t>
        <w:br/>
        <w:t xml:space="preserve">The substitute general rapporteur, The president, </w:t>
        <w:br/>
        <w:t xml:space="preserve">Jean-Claude Facchin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