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https://www.autoritedelaconcurrence.fr/fr/decision/relative-la-situation-de-la-concurrence-sur-le-marche-de-la-reparation-du-gros-machinisme</w:t>
      </w:r>
    </w:p>
    <w:p>
      <w:r>
        <w:t>Pages translated : 4</w:t>
      </w:r>
    </w:p>
    <w:p/>
    <w:p>
      <w:r>
        <w:rPr>
          <w:b/>
        </w:rPr>
        <w:t>[Pages 1–3]</w:t>
      </w:r>
    </w:p>
    <w:p>
      <w:r>
        <w:t xml:space="preserve">FRENCH REPUBLIC  </w:t>
        <w:br/>
        <w:t xml:space="preserve">Decision No. 91-D-32 of June 25, 1991  </w:t>
        <w:br/>
        <w:t xml:space="preserve">regarding the competitive situation in the market  </w:t>
        <w:br/>
        <w:t>for the repair of large agricultural machinery</w:t>
      </w:r>
    </w:p>
    <w:p>
      <w:r>
        <w:t xml:space="preserve">The Competition Council,  </w:t>
        <w:br/>
        <w:t xml:space="preserve">Having regard to the letter registered on December 29, 1988, under number F 215, by which the Minister of State, Minister of Economy, Finance and Budget, referred to the Competition Council a file concerning the competitive situation in the market for the repair of large agricultural machinery;  </w:t>
        <w:br/>
        <w:t xml:space="preserve">Having regard to Ordinances No. 45-1483 and No. 45-1484 of June 30, 1945, as amended, respectively relating to prices and to the detection, prosecution, and repression of violations of economic legislation;  </w:t>
        <w:br/>
        <w:t xml:space="preserve">Having regard to Ordinance No. 86-1243 of December 1, 1986, relating to price and competition freedom, as amended, together with Decree No. 86-1309 of December 29, 1986, as amended, taken for its application;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heard,  </w:t>
        <w:br/>
        <w:t>Adopts the decision based on the findings (I) and the reasons (II) set out below:</w:t>
      </w:r>
    </w:p>
    <w:p>
      <w:r>
        <w:t xml:space="preserve">I. - FINDINGS  </w:t>
        <w:br/>
        <w:t xml:space="preserve">A. Characteristics of the market  </w:t>
        <w:br/>
        <w:t xml:space="preserve">Depending on the case, companies participating in the market for the repair of large agricultural machinery are specialized in this sole activity or are simultaneously engaged either in the sale of the equipment in question or in activities unrelated to it. The main brands present in the market are Fiat Agri, Renault, Case, Massey-Ferguson, John Deere. These five suppliers satisfied, in 1986, 67.2% of the demand.  </w:t>
        <w:br/>
        <w:t>In recent times, the sector for the sale of large agricultural machinery has recorded a decline in demand. From 1983 to 1986, tractor sales fell from 47,493 to 37,957 units.</w:t>
      </w:r>
    </w:p>
    <w:p>
      <w:r>
        <w:t xml:space="preserve">Companies specializing in the repair of large agricultural machinery are primarily grouped into three independent trade union structures. The main one is the National Union of Service and Distribution Companies for Agricultural Machinery, hereinafter referred to as Sedima. It includes about a thousand members. Regarding the sale of equipment, its members meet approximately 80% of the demand.  </w:t>
        <w:br/>
        <w:t xml:space="preserve">For its part, the National Federation of Craftsmen and Small Enterprises in Rural Areas, hereinafter referred to as F.N.A.R., brings together a collection of local unions whose member companies are partly involved in the repair of the equipment in question. This federation, which includes a total of 4,000 members, comprises various professions: agricultural machinery, rural housing, farm equipment, small builders, subcontractors, bodywork, farriery.  </w:t>
        <w:br/>
        <w:t>Finally, the National Group of Agricultural Equipment Cooperatives and Sica, hereinafter referred to as G.N.C.S.E.A., brings together 19 cooperatives and agricultural collective interest companies engaged in agricultural machinery activities.</w:t>
      </w:r>
    </w:p>
    <w:p>
      <w:r>
        <w:t xml:space="preserve">B. - Facts to be qualified  </w:t>
        <w:br/>
        <w:t xml:space="preserve">In October 1982, Sedima, based on data collected from its members, conducted an analysis of the costs of a standard agricultural machinery repair workshop. This document contains indications that the pre-tax billing price of a service is a multiple of the base salary rate. Thus, the base salary, multiplied by 3.52, gives a pre-tax billing price. During the year 1985, Sedima considered updating the document. However, the processing of the data necessary for this update was not carried out.  </w:t>
        <w:br/>
        <w:t xml:space="preserve">In September 1986, Sedima also disseminated a document titled 'Workshop Labor Prices' which recalls that the hourly cost price is determined by workshop based on annual salaries, payroll charges, and operating costs. For the latter, a distinction is made between costs directly attributable to the workshop and costs not directly attributable for which fixed coefficients are recommended.  </w:t>
        <w:br/>
        <w:t xml:space="preserve">Finally, Sedima established, without disseminating it, a study 'Labor Prices by Region' providing previously and subsequently to September 1, 1986, the average prices, the highest prices, and the lowest prices observed.  </w:t>
        <w:br/>
        <w:t xml:space="preserve">For its part, according to the documents submitted to the file, since the non-prescriptive period, F.N.A.R. publishes the guide L'Officiel de l'artisanat rural which includes ranges of hourly prices and service rates observed as well as, more occasionally, unit prices.  </w:t>
        <w:br/>
        <w:t>Finally, by a letter dated September 1, 1986, G.N.C.S.E.A. disseminated to its members the document titled 'Workshop Labor Cost Price' from Sedima. On this occasion, it also communicated 'the prices that would be practiced in the departments... Vendée, Manche, Loire-Atlantique, Calvados'. The transmission letter also includes the mention: 'During the general assembly, we will conduct a round table to know the price per hour actually retained for your company.'</w:t>
      </w:r>
    </w:p>
    <w:p>
      <w:r>
        <w:t xml:space="preserve">II. - BASED ON THE PRECEDING FINDINGS, THE COMPETITION COUNCIL  </w:t>
        <w:br/>
        <w:t xml:space="preserve">Considering that the facts described above are both prior and subsequent to the entry into force of Ordinance No. 86-1243 of December 1, 1986; that they must consequently be assessed with regard to Article 50 of Ordinance No. 45-1483 of June 30, 1945, and Article 7 of the Ordinance of December 1, 1986;  </w:t>
        <w:br/>
        <w:t xml:space="preserve">Considering that the hearing minutes, the first of which dates back to December 18, 1986, have interrupted the statute of limitations; that the facts prior to December 18, 1983, cannot be qualified; that they can, however, be recounted solely to allow for the understanding of the grievances upheld and related to facts liable to be sanctioned;  </w:t>
        <w:br/>
        <w:t xml:space="preserve">Considering that, while it is normal for a professional union to provide its members with management assistance, this should not exert any direct or indirect influence on the functioning of competition within the profession;  </w:t>
        <w:br/>
        <w:t xml:space="preserve">Considering that the fact that Sedima established and disseminated a document that allows for the definition of the hourly cost price by providing normative numerical elements that seem to impose themselves on companies, while these elements could vary from one company to another, constitutes a concerted practice aimed at restricting the functioning of competition;  </w:t>
        <w:br/>
        <w:t xml:space="preserve">Considering that the fact that F.N.A.R. disseminated a guide proposing ranges and levels of prices also constitutes a concerted action aimed at distorting competition under the same conditions; that the fact that G.N.C.S.E.A. disseminated to its members the document titled 'Workshop Labor Cost Price' from Sedima and communicated to them the prices that would be practiced in several departments is also susceptible to such qualification;  </w:t>
        <w:br/>
        <w:t xml:space="preserve">Considering that in this case, the fact that Sedima disseminated normative numerical elements may, moreover, have the effect of restricting the functioning of competition by favoring the artificial increase of prices; that, likewise, the fact that F.N.A.R. and G.N.C.S.E.A. disseminated price levels may have encouraged professionals to adjust to the indicated prices;  </w:t>
        <w:br/>
        <w:t xml:space="preserve">Considering that the dissemination of the documents from Sedima, F.N.A.R., and G.N.C.S.E.A. may have had an anticompetitive effect; that neither Sedima nor F.N.A.R. can therefore base their observations on the fact that the investigation did not allow for measuring the actual impact of the practices in question;  </w:t>
        <w:br/>
        <w:t xml:space="preserve">Considering that if the members of G.N.C.S.E.A., numbering 19, each operate in their own market area, this grouping cannot effectively argue that the dissemination of prices carried out by it has no impact on competition; that indeed it transmitted to its members the document 'Workshop Labor Cost Price' from Sedima while its members and those of Sedima are competitors;  </w:t>
        <w:br/>
        <w:t>Considering that all of these practices are covered by the provisions of Article 50 of Ordinance No. 45-1483 of June 30, 1945, and Article 7 of the Ordinance of December 1, 1986;</w:t>
      </w:r>
    </w:p>
    <w:p>
      <w:r>
        <w:rPr>
          <w:b/>
        </w:rPr>
        <w:t>[Pages 4–4]</w:t>
      </w:r>
    </w:p>
    <w:p>
      <w:r>
        <w:t>Considering that it is not established that the authors of these observed practices can benefit from the provisions of Article 51 of Ordinance No. 45-1483 of June 30, 1945, and Article 10 of the Ordinance of December 1, 1986;</w:t>
      </w:r>
    </w:p>
    <w:p>
      <w:r>
        <w:t>Considering that it is appropriate, by application of Article 53 of the aforementioned Ordinance No. 45-1483 of 1945 and Article 13 of the aforementioned Ordinance of 1986, to impose a financial penalty against the National Union of Service and Distribution Companies for Agricultural Machinery, the National Federation of Craftsmen and Small Enterprises in Rural Areas, and the National Group of Cooperatives and Agricultural Equipment Sicas, taking into account both the specific characteristics of the profession, the impact on the market of the observed practices, and the contributory capacity of these organizations,</w:t>
      </w:r>
    </w:p>
    <w:p>
      <w:r>
        <w:t>Decides:</w:t>
      </w:r>
    </w:p>
    <w:p>
      <w:r>
        <w:t>Art. 1. - The following penalties are imposed:</w:t>
        <w:br/>
        <w:t>- on the National Union of Service and Distribution Companies for Agricultural Machinery, a financial penalty of 100,000 francs;</w:t>
        <w:br/>
        <w:t>- on the National Federation of Craftsmen and Small Enterprises in Rural Areas, a financial penalty of 25,000 francs;</w:t>
        <w:br/>
        <w:t>- on the National Group of Cooperatives and Agricultural Equipment Sicas, a financial penalty of 10,000 francs.</w:t>
      </w:r>
    </w:p>
    <w:p>
      <w:r>
        <w:t>Art. 2. - Within a maximum period of six months following its notification, the full text of this decision will be published at the expense of the National Union of Service and Distribution Companies for Agricultural Machinery, the National Federation of Craftsmen and Small Enterprises in Rural Areas, and the National Group of Cooperatives and Agricultural Equipment Sicas, in the magazines Sedima-gazine and La France agricole. This publication will be preceded by the mention: 'Decision of the Competition Council dated June 25, 1991, regarding the state of competition in the market for the repair of large agricultural machinery.'</w:t>
      </w:r>
    </w:p>
    <w:p>
      <w:r>
        <w:t>Deliberated in section, on the report of Ms. S. de Mallmann, in its session of June 25, 1991, where were present:</w:t>
        <w:br/>
        <w:t>Mr. Béteille, Vice-President, presiding;</w:t>
        <w:br/>
        <w:t>Messrs. Bon, Fries, Ms. Hagelsteen and Lorenceau, Mr. Schmidt, members</w:t>
      </w:r>
    </w:p>
    <w:p>
      <w:r>
        <w:t>The substitute general rapporteur, The Vice-President, presiding the session,</w:t>
        <w:br/>
        <w:t>A.P. Weber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