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https://www.autoritedelaconcurrence.fr/fr/decision-de-controle-des-concentrations/relative-lacquisition-dactifs-de-la-societe-des-petroles</w:t>
      </w:r>
    </w:p>
    <w:p>
      <w:r>
        <w:t>Pages translated : 8</w:t>
      </w:r>
    </w:p>
    <w:p/>
    <w:p>
      <w:r>
        <w:rPr>
          <w:b/>
        </w:rPr>
        <w:t>[Pages 1–3]</w:t>
      </w:r>
    </w:p>
    <w:p>
      <w:r>
        <w:t xml:space="preserve">FRENCH REPUBLIC  </w:t>
        <w:br/>
        <w:t xml:space="preserve">Decision No. 09-DCC-94 of December 31, 2009  </w:t>
        <w:br/>
        <w:t>regarding the acquisition of assets from the Shell Oil Company and the Total group by the Rubis group in the retail fuel sector</w:t>
      </w:r>
    </w:p>
    <w:p>
      <w:r>
        <w:t xml:space="preserve">The Competition Authority,  </w:t>
        <w:br/>
        <w:t xml:space="preserve">Having regard to the notification file submitted in full to the merger service on November 27, 2009, regarding the acquisition of the service station network of the Shell Oil Company (hereinafter "Shell") in Corsica and 10.5% of its shares in the company Dépôts Pétroliers de la Corse (hereinafter "DPLC"), formalized by a contract on July 21, 2009, as well as the acquisition of part of the service station network of Total Corse and 25% of the shares of Total Raffinage Marketing in DPLC, formalized by a framework agreement and three transfer agreements for shares and assets on October 1, 2009;  </w:t>
        <w:br/>
        <w:t xml:space="preserve">Having regard to Book IV of the Commercial Code relating to price and competition freedom, and in particular its Articles L. 430-1 to L. 430-7;  </w:t>
        <w:br/>
        <w:t>Adopts the following decision:</w:t>
      </w:r>
    </w:p>
    <w:p>
      <w:r>
        <w:t xml:space="preserve">I. The concerned companies and the operation  </w:t>
        <w:br/>
        <w:t xml:space="preserve">1. The company Rubis (hereinafter "Rubis") is a limited partnership by shares, whose shares are listed in Paris, held by approximately 1,800 shareholders, both individual and institutional. Rubis, through the company Rubis Terminal which it owns 99.11%, stores fuels and other chemical products in facilities owned by it, on behalf of players in the food distribution sector, oil companies, chemical industry players, or traders in international petroleum, fertilizer, and other liquid product markets. Furthermore, Rubis distributes, through its wholly-owned subsidiary Vitogaz SA, butane, propane, and liquefied petroleum gas (LPG) to individuals, local authorities, and the agricultural and industrial sectors, under the brands Vitogaz, Gaz’L, and ViTO. The Rubis group is present in the retail fuel distribution in Guadeloupe, Martinique, and Guyana, following the acquisition in 2005 of assets from the Shell Oil Company. Finally, the Rubis group is active in the trading of petroleum products through its wholly-owned subsidiary HP Trading. The consolidated net sales of the Rubis group for the year 2008 amounted to 1,192 million euros, of which [&gt;75] million euros were generated in France, including [&gt;15] million euros in retail trade.  </w:t>
        <w:br/>
        <w:t xml:space="preserve">2. Under a transfer agreement concluded on July 21, 2009, the Shell oil company (hereinafter "Shell") committed to transfer to the Rubis group, under various suspensive conditions, assets related to 23 service stations located in Corsica as well as shares representing 10.5% of the capital of the company Dépôts Pétroliers de La Corse (hereinafter "DPLC"). DPLC operates the two oil depots in Corsica, one located in Ajaccio and the other in Lucciana. These two depots supply all the service stations in Corsica.  </w:t>
        <w:br/>
        <w:t xml:space="preserve">3. Under a framework agreement and three asset transfer agreements signed on October 1, 2009, the companies of the Total group (hereinafter "Total"), Total Raffinage Marketing, and Total Corse committed, under various suspensive conditions, to transfer to the Rubis group assets related to 34 service stations located in Corsica as well as 25% of the capital of DPLC.  </w:t>
        <w:br/>
        <w:t xml:space="preserve">4. The acquisitions planned by Rubis from Shell and Total are linked by the conditions upon which they depend. Indeed, it follows from the transfer contract between Shell and Rubis that this transfer depends on "the effective acquisition by the buyer of at least 25% of the shares of DPLC and at least 30 service stations in Corsica [...]", criteria that can only be fulfilled if the transfer of Total's assets is also completed. Moreover, these two concurrent acquisitions, for which the parties to the operation agreed, in the documents submitted for notification, to a simultaneous notification to the competition authorities, pursue the same economic objective, which is to allow Rubis, a new entrant in the fuel distribution market in Corsica, to establish a sufficient network of service stations to cover the entire territory of Corsica and to participate in the management of the two oil depots. Therefore, the two operations constitute a single concentration and must be subject to a single decision.  </w:t>
        <w:br/>
        <w:t xml:space="preserve">5. Rubis will thus acquire 9 CODO ("Company Owned, Dealer Operated") service stations from the Total group and 2 CODO service stations from Shell. These acquisitions concern, depending on the service stations, the land, buildings, business assets, or management lease contracts from which the oil company benefits in order to operate the service stations, as well as various operating equipment. They will grant Rubis a decisive influence over the fuel distribution activity of these service stations. In 2008, the turnover generated by these 11 CODO service stations amounted to [&gt;15] million euros, [&gt;15] million euros for the service stations of the Total group and [&lt;15] million euros for the service stations of Shell.  </w:t>
        <w:br/>
        <w:t>6. The operation also provides for the transfer to Rubis of exclusive fuel supply contracts concluded between 21 DODO ("Dealer Owned, Dealer Operated") service stations and Shell, as well as between 25 service stations of the same type and Total Corse. Furthermore, regarding these service stations, Rubis acquires operating assets such as pumps and flow meters, including or not payment terminals, tanks, exterior or interior fitting materials, and ancillary equipment and tools. Since the qualification of the control exercised by Rubis over the DODO service stations does not affect the controllability of the operation nor the conclusions of the competitive analysis, it is possible to leave this question open. By way of indication, in 2008, the turnover generated by the supply of fuel to DODO service stations amounted respectively to […] million euros for the stations supplied by Shell and to […] million euros for the stations supplied by Total Corse.</w:t>
      </w:r>
    </w:p>
    <w:p>
      <w:r>
        <w:t xml:space="preserve">7. With regard to DPLC, following the transaction, Rubis Terminal and HP Trading will hold respectively […] % and […] % of the capital and voting rights of this company, together totaling 35.5%. The other partners Total, Esso, and BP will hold respectively [&lt;50] %, [&lt;50] %, and [&lt;50] % of the capital and voting rights of DPLC. However, it should be noted that DPLC cannot be considered a full-function undertaking, within the meaning of the European Commission's consolidated communication (notably paragraph 98). Indeed, DPLC's activity consists of providing petroleum product storage services exclusively for the account of DPLC's partners, who determine the price annually within the management committee. As a result, DPLC is not present in a storage service market.  </w:t>
        <w:br/>
        <w:t xml:space="preserve">8. Moreover, the 35.5% stake of the Rubis group in the capital of DPLC is not likely to confer rights exceeding those normally granted to a minority shareholder to protect its financial interests. Indeed, according to the statutes of DPLC, strategic decisions are made by the management committee in which each partner is represented by individuals holding the voting rights of the partner. The management committee deliberates by majority, except for certain decisions taken by a two-thirds majority that relate to the protection of the financial interests of minority shareholders, such as statutory amendments, capital increases, amortization or reduction of capital, transformation of the company into another legal form, or early dissolution of the company.  </w:t>
        <w:br/>
        <w:t>9. Insofar as it results in the acquisition of control over 11 CODO service stations in Corsica by Rubis, the notified operation constitutes a concentration within the meaning of Article L. 430-1 of the Commercial Code. The control thresholds mentioned in Article L. 430-2-II of the Commercial Code, relating to retail trade, are exceeded. On the other hand, the operation does not have a community dimension. It is therefore subject to the provisions of Article L. 430-3 of the Commercial Code relating to economic concentration.</w:t>
      </w:r>
    </w:p>
    <w:p>
      <w:r>
        <w:t xml:space="preserve">II. Delimitation of relevant markets  </w:t>
        <w:br/>
        <w:t xml:space="preserve">A. DELIMITATION OF PRODUCT MARKETS  </w:t>
        <w:br/>
        <w:t>10. The parties are simultaneously present in the retail fuel sales sector. The competition authorities have already considered that there exists a market for the retail sale of fuels, encompassing all types of fuels, distinguishing only between whether the fuel is distributed on highways or off highways, as the competition authorities have deemed that demand is more captive on highways. The service stations concerned by the operation are all located in urban areas or on free roads. Thus, in accordance with decision-making practice, the competitive analysis will focus solely on the market for retail fuel sales off highways.</w:t>
      </w:r>
    </w:p>
    <w:p>
      <w:r>
        <w:rPr>
          <w:b/>
        </w:rPr>
        <w:t>[Pages 4–6]</w:t>
      </w:r>
    </w:p>
    <w:p>
      <w:r>
        <w:t>11. As for ancillary activities to the sale of fuels (automatic washing, sale of lubricants, sandwiches, etc.), given the marginal nature of the volumes and turnover involved as well as the presence of competitors other than service stations likely to sell the products and services considered, the present operation will have only a marginal impact on the concerned markets and will therefore not be subject to a competitive analysis.</w:t>
      </w:r>
    </w:p>
    <w:p>
      <w:r>
        <w:t>B. DELIMITATION OF GEOGRAPHIC MARKETS</w:t>
      </w:r>
    </w:p>
    <w:p>
      <w:r>
        <w:t>12. Regarding the geographic dimension of the fuel sales markets at service stations off highways, the French competition authorities have considered in several decisions that they were of a local dimension. They have thus most often conducted an analysis at the level of the agglomeration.</w:t>
      </w:r>
    </w:p>
    <w:p>
      <w:r>
        <w:t>13. The European Commission has also indicated in the aforementioned decision M. 1464 Total / PetroFina that the market had a local character: "the geographic market for the sale of fuels must be defined by reference to demand, constituted by motorists who refuel at stations near their centers of activity, without traveling long distances. Consequently, the substitutability between supply stations is, from the demand side, geographically limited."</w:t>
      </w:r>
    </w:p>
    <w:p>
      <w:r>
        <w:t>14. However, the notifying party notes that "other factors are sometimes taken into account by competition authorities to tend towards a national market dimension, such as the homogeneity of product ranges, quality, level of service, or prices at the regional or even national level," and refers to the decision of the European Commission IV/M.1383 – Exxon / Mobil, which had retained a national dimension for the concerned markets in Austria, Germany, and the United Kingdom. More specifically regarding Corsica, the notifying party considers that there are overlaps between the catchment areas of all service stations located in this territory, resulting in a continuum of retail prices that do not show significant differences between service stations based on their geographic location. It concludes that the relevant geographic market in this case is the entirety of Corsica.</w:t>
      </w:r>
    </w:p>
    <w:p>
      <w:r>
        <w:t>15. The Authority, on the contrary, notes that the examination of the network of service stations on the island tends to support the practice of the French competition authorities in that it allows for the determination of different areas, isolated and distant from each other, corresponding to agglomerations (Bastia and Ajaccio) or urban areas (Calvi, Porto, etc.) in which the conditions for competition differ.</w:t>
      </w:r>
    </w:p>
    <w:p>
      <w:r>
        <w:t>16. In this case, it is not necessary to definitively resolve the question of the geographic delimitation of the retail fuel market in Corsican territory, as the conclusions of the competitive analysis will remain unchanged regardless of the definition adopted. The analysis will, however, be conducted at the finest level, that is to say, at the level of the catchment areas of each agglomeration or urban area, grouping the service stations located within or near the concerned towns and villages.</w:t>
      </w:r>
    </w:p>
    <w:p>
      <w:r>
        <w:t>III. Competitive Analysis</w:t>
      </w:r>
    </w:p>
    <w:p>
      <w:r>
        <w:t>A. UNILATERAL EFFECTS</w:t>
      </w:r>
    </w:p>
    <w:p>
      <w:r>
        <w:t>17. As a preliminary point, it can be noted that, throughout Corsica, prior to the operation, the networks of the Total, Esso, BP, and Shell groups were present with respective market shares, calculated in volume, of [40-50] %, [20-30] %, [10-20] %, and [10-20] %. Large and medium-sized food-dominant stores do not distribute fuels in Corsica. Following the operation, the Rubis network will be the market leader with a share of [30-40] % in volume and will face the networks of the Total, Esso, and BP groups, which will have respectively [20-30] %, [20-30] %, and [10-20] % market shares. The operation, across Corsica, therefore leads to a deconcentration of the market, with the IHH index decreasing from 2994 to 2658. As previously stated, it is necessary to analyze the competitive impact of the operation, zone by zone.</w:t>
      </w:r>
    </w:p>
    <w:p>
      <w:r>
        <w:t>18. In the northern zones of Cap Corse, Ile-Rousse, Borgo, Propriano, Sartène, and Sagone/Cargèse, the Rubis network acquires part of the Total network and no service stations from the Shell network, with Total remaining present. Consequently, the operation leads to an increase in the number of players present in the area and to a deconcentration of the market through the entry of Rubis.</w:t>
      </w:r>
    </w:p>
    <w:p>
      <w:r>
        <w:t>19. In the zones of Corte, Planottoli-Caldarello, and Aléria, the Rubis network acquires all Shell service stations and no service stations from the Total group. Rubis thus replaces Shell in these areas, and the competitive structure is not modified, with the number of players present in the area and their respective market shares remaining identical.</w:t>
      </w:r>
    </w:p>
    <w:p>
      <w:r>
        <w:t>20. In the Santa Maria Siché zone, the Rubis network acquires the only Total service station and no Shell service station. The competitive structure is also not modified in this zone.</w:t>
      </w:r>
    </w:p>
    <w:p>
      <w:r>
        <w:t>21. In the zones of Bastia (from Erbalunga to Casatorra, including Pietrabugno), Saint Florent, Calvi (including Lumio), Ponte Leccia, Porto (including Serriera), Ajaccio (including Mezzavia), Ghisonaccia, and Porto Vecchio, the Rubis network simultaneously acquires Shell service stations and service stations from the Total group, with the Total group remaining, or not, present. The operation is therefore likely to lead to a concentration of the market, and it is necessary to analyze each of these zones individually.</w:t>
      </w:r>
    </w:p>
    <w:p>
      <w:r>
        <w:t>22. For these 8 zones, the notifying party has provided the distribution of service stations among the networks as well as estimates of market shares, based on the volumes sold in 2008 by the service stations that will join the Rubis network and on the average volumes per service station, across Corsica, for the other networks.</w:t>
      </w:r>
    </w:p>
    <w:p>
      <w:r>
        <w:t>23. The distribution of service stations in these different zones among the networks is presented in the table below:</w:t>
      </w:r>
    </w:p>
    <w:p>
      <w:r>
        <w:t>| Zone          | Total | BP | Esso | Shell | Total | BP | Esso | Rubis |</w:t>
        <w:br/>
        <w:t>|---------------|-------|----|------|-------|-------|----|------|-------|</w:t>
        <w:br/>
        <w:t>| Porto Vecchio | 7     | 0  | 0    | 1     | 3     | 0  | 0    | […]   |</w:t>
        <w:br/>
        <w:t>| Calvi         | 3     | 1  | 0    | 1     | 2     | 1  | 0    | […]   |</w:t>
        <w:br/>
        <w:t>| Ajaccio       | 8     | 7  | 3    | 4     | 6     | 7  | 3    | […]   |</w:t>
        <w:br/>
        <w:t>| Ghisonaccia   | 2     | 1  | 1    | 1     | 1     | 1  | 1    | […]   |</w:t>
        <w:br/>
        <w:t>| Ponte Leccia  | 2     | 1  | 1    | 1     | 1     | 1  | 1    | […]   |</w:t>
        <w:br/>
        <w:t>| Porto         | 2     | 0  | 0    | 1     | 1     | 0  | 0    | […]   |</w:t>
        <w:br/>
        <w:t>| Bastia        | 6     | 3  | 5    | 5     | 3     | 3  | 5    | […]   |</w:t>
        <w:br/>
        <w:t>| St Florent    | 1     | 1  | 0    | 1     | 0     | 1  | 0    | […]   |</w:t>
      </w:r>
    </w:p>
    <w:p>
      <w:r>
        <w:t>24. In all these zones, except Saint Florent, the number of players present will not be modified by the operation.</w:t>
      </w:r>
    </w:p>
    <w:p>
      <w:r>
        <w:t>25. Regarding the distribution of service stations among the networks, in the zones of Porto Vecchio, Calvi, and Ajaccio, the operation leads to a rebalancing. In the zones of Ghisonaccia, Ponte Leccia, and Porto, the operation does not modify the structure of the distribution of service stations among the players. The operation therefore leads to a modification of the structure of competition only in the zones of Bastia and St Florent.</w:t>
      </w:r>
    </w:p>
    <w:p>
      <w:r>
        <w:t>26. In the Bastia zone, where the number of players present will not be modified, the market shares of the networks, after the operation, are estimated at [30-40] % for Rubis, [30-40] % for Esso, [10-20] % for Total, and [10-20] % for BP. The Rubis network will therefore face competition from networks with significant positions in the area.</w:t>
      </w:r>
    </w:p>
    <w:p>
      <w:r>
        <w:t>27. Regarding the Saint-Florent zone, which has only 3 service stations, Rubis will occupy an important position with 2 service stations and will have BP as its only competitor, with one service station whose market share is estimated at [30-40] %. However, it should be noted that Saint-Florent is located near Bastia, at a distance of 22 kilometers, or about twenty minutes of travel, and that tourists or residents of Saint-Florent are likely to refuel in Bastia, as they may reside in Saint-Florent but work in the economic capital of the Island.</w:t>
      </w:r>
    </w:p>
    <w:p>
      <w:r>
        <w:t>28. Given the preceding elements, the present operation is not likely to present a risk for competition through unilateral effects on the retail fuel markets in Corsica.</w:t>
      </w:r>
    </w:p>
    <w:p>
      <w:r>
        <w:rPr>
          <w:b/>
        </w:rPr>
        <w:t>[Pages 7–8]</w:t>
      </w:r>
    </w:p>
    <w:p>
      <w:r>
        <w:t>B. COORDINATED EFFECTS</w:t>
      </w:r>
    </w:p>
    <w:p>
      <w:r>
        <w:t>29. A transaction can alter the nature of competition in a market such that companies that previously did not coordinate their behavior become much more likely to do so, or, if they were already coordinating their behaviors, can do so more easily. In other words, a transaction can create or strengthen a collective dominant position by increasing the incentives and ability of the companies present in the market to maintain a tacit collusive equilibrium.</w:t>
      </w:r>
    </w:p>
    <w:p>
      <w:r>
        <w:t>30. The Airtours/First Choice judgment of the Court of First Instance of the European Communities defined three cumulative criteria, reiterated by the Council of State in its Fiducial decision of July 31, 2009, to assess the risks of a collective dominant position: for a risk to exist, it is necessary not only that the market transparency is such that each oligopolist is able to reach a common strategy and detect any deviations, but also that the functioning of the market allows for the implementation of effective retaliation and that no reaction from residual or potential competitors, as well as from customers, can destabilize a potential collusive equilibrium. The Court of Justice of the European Communities confirmed the analysis of the Airtours judgment in its Impala ruling, further emphasizing that such coordination is only possible if the companies are able to understand the common objective and the means to achieve it.</w:t>
      </w:r>
    </w:p>
    <w:p>
      <w:r>
        <w:t>31. Several characteristics of the fuel sales market in Corsica are likely to contribute to the existence of a collective dominant position, in light of these criteria.</w:t>
      </w:r>
    </w:p>
    <w:p>
      <w:r>
        <w:t>32. The fuel distribution market is particularly transparent. Indeed, fuels are homogeneous products, as they consist of the same types of fuels distributed at each station (SP 95, diesel, etc.). In its Exxon/Mobil decision, the Commission noted that the high degree of homogeneity of fuels was likely to simplify the tacit coordination of pricing policies. Price comparison is also very easy, as prices are displayed at the entrance of service stations and, moreover, price surveys at the pump are conducted monthly by the administration, concerning each type of fuel for each station, which publishes them on a website.</w:t>
      </w:r>
    </w:p>
    <w:p>
      <w:r>
        <w:t>33. Unlike other French regions, competition in the fuel distribution market in Corsica is not driven by large and medium-sized food stores. Potential competition is, moreover, almost non-existent, given the high barriers to entry in the market. Indeed, service stations are classified installations that require administrative authorization. The same applies to oil depots, which also represent costly investments, but whose access is necessary to establish oneself in the retail fuel distribution market. It should also be noted that the only two depots existing in Corsica are controlled by the four operators likely to engage in collusive behavior. Finally, both management lease contracts and supply contracts for service stations are exclusive, limiting the potential for a new entrant, and have relatively long durations, around five years. Thus, Rubis could only enter this market to the extent that Shell completely disengaged from it, and Total partially.</w:t>
      </w:r>
    </w:p>
    <w:p>
      <w:r>
        <w:t>34. The countervailing power of demand is also almost non-existent, as it is essentially composed of isolated motorists who have no collective bargaining power.</w:t>
      </w:r>
    </w:p>
    <w:p>
      <w:r>
        <w:t>35. However, the arrival of Rubis, a new entrant in the Corsican fuel distribution market, is more likely to destabilize a potential collusive equilibrium than to create or strengthen it. Indeed, the common definition of a coordinated course of action is all the easier when the companies involved are similar, particularly in terms of cost structure, vertical integration, or market shares. However, if the transaction leads to a slight rebalancing of market shares, Rubis, unlike the three other players present, and Shell which it replaces, is not a global oil group present at all stages of the oil supply chain. It is a niche player, much smaller than the major oil groups, specialized in the storage and distribution of petroleum products. The transaction, as such, does not appear to be likely to create a collective dominant position or strengthen a pre-existing collective dominant position.</w:t>
      </w:r>
    </w:p>
    <w:p>
      <w:r>
        <w:t>DECIDES</w:t>
      </w:r>
    </w:p>
    <w:p>
      <w:r>
        <w:t>Sole Article: The transaction notified under number 09-0109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