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https://www.autoritedelaconcurrence.fr/fr/decision-de-controle-des-concentrations/relative-lacquisition-de-45-stations-service-du-reseau-esso</w:t>
      </w:r>
    </w:p>
    <w:p>
      <w:r>
        <w:t>Pages translated : 5</w:t>
      </w:r>
    </w:p>
    <w:p/>
    <w:p>
      <w:r>
        <w:rPr>
          <w:b/>
        </w:rPr>
        <w:t>[Pages 1–3]</w:t>
      </w:r>
    </w:p>
    <w:p>
      <w:r>
        <w:t xml:space="preserve">FRENCH REPUBLIC  </w:t>
        <w:br/>
        <w:t xml:space="preserve">Decision No. 12-DCC-160 of November 14, 2012  </w:t>
        <w:br/>
        <w:t xml:space="preserve">regarding the acquisition of 45 service stations from the Esso network by  </w:t>
        <w:br/>
        <w:t xml:space="preserve">Delek France  </w:t>
        <w:br/>
        <w:t xml:space="preserve">The Competition Authority,  </w:t>
        <w:br/>
        <w:t xml:space="preserve">Having regard to the notification file submitted in full to the merger service on October 9, 2012,  </w:t>
        <w:br/>
        <w:t xml:space="preserve">regarding the acquisition of 45 service stations from the Esso network by Delek France,  </w:t>
        <w:br/>
        <w:t xml:space="preserve">formalized by a firm offer letter sent by Delek to Esso on January 12, 2012;  </w:t>
        <w:br/>
        <w:t xml:space="preserve">Having regard to Book IV of the Commercial Code relating to price freedom and competition, and  </w:t>
        <w:br/>
        <w:t xml:space="preserve">notably its Articles L. 430-1 to L. 430-7;  </w:t>
        <w:br/>
        <w:t xml:space="preserve">Having regard to the supplementary elements submitted by the notifying party during the investigation;  </w:t>
        <w:br/>
        <w:t xml:space="preserve">Adopts the following decision:  </w:t>
        <w:br/>
        <w:t xml:space="preserve">I. The concerned companies and the operation  </w:t>
        <w:br/>
        <w:t xml:space="preserve">1. Delek France is a 100% subsidiary of Delek France Finance, which is itself controlled by Delek  </w:t>
        <w:br/>
        <w:t xml:space="preserve">Group Ltd., the parent company of the Delek group. The Delek group is present throughout the  </w:t>
        <w:br/>
        <w:t xml:space="preserve">value chain of the oil industries. Its activities cover retail fuel sales and wholesale fuel sales to  </w:t>
        <w:br/>
        <w:t xml:space="preserve">independent resellers, industrial and commercial consumers, and brand distributors operating  </w:t>
        <w:br/>
        <w:t xml:space="preserve">their own service stations. The Delek group is also active in the fuel refining market as well as in  </w:t>
        <w:br/>
        <w:t xml:space="preserve">the upstream market for oil and gas exploration and production in Israel and other countries outside  </w:t>
        <w:br/>
        <w:t xml:space="preserve">France.  </w:t>
        <w:br/>
        <w:t xml:space="preserve">2. Delek France (hereinafter "Delek") is active in fuel storage through its 50% stake in the company  </w:t>
        <w:br/>
        <w:t xml:space="preserve">Dépôt Pétrolier de Lyon SAS, its 21.5% stake in the company Dépôts Pétroliers de la Corse SAS,  </w:t>
        <w:br/>
        <w:t xml:space="preserve">as well as its 100% control of a storage facility in Vitry. Since the acquisition in 2010 of 395 service  </w:t>
        <w:br/>
        <w:t xml:space="preserve">stations from BP France1, Delek has also been active in France in the retail fuel market. Finally,  </w:t>
        <w:br/>
        <w:t xml:space="preserve">Delek operates in France in the wholesale sale of fuel, where it sells domestic heating oil, diesel,  </w:t>
        <w:br/>
        <w:t xml:space="preserve">non-road diesel, and fishing diesel.  </w:t>
        <w:br/>
        <w:t xml:space="preserve">3. According to the firm offer letter dated January 12, 2012, it is planned that Delek will acquire the  </w:t>
        <w:br/>
        <w:t xml:space="preserve">assets and ancillary activities of the company Esso Société Anonyme Française (hereinafter, "Esso  </w:t>
        <w:br/>
        <w:t xml:space="preserve">SAF"), a subsidiary of Exxon Mobil Corporation. These assets correspond to 45 non-highway service  </w:t>
        <w:br/>
        <w:t xml:space="preserve">stations for retail fuel sales under the "Esso Express" brand in the French region of the west Atlantic  </w:t>
        <w:br/>
        <w:t xml:space="preserve">and to the buildings and land owned by Esso SAF as well as the occupancy rights enjoyed by Esso  </w:t>
        <w:br/>
        <w:t xml:space="preserve">SAF for these 45 service stations (hereinafter, the "target service stations"). At the end of the  </w:t>
        <w:br/>
        <w:t xml:space="preserve">operation, Delek will continue to operate the target service stations under the "Esso Express" brand.  </w:t>
        <w:br/>
        <w:t xml:space="preserve">As it results in the exclusive control of the target service stations by Delek, the notified operation is  </w:t>
        <w:br/>
        <w:t xml:space="preserve">therefore a concentration within the meaning of Article L. 430-1 of the Commercial Code.  </w:t>
        <w:br/>
        <w:t xml:space="preserve">4. The concerned companies together achieved a consolidated worldwide turnover excluding taxes of  </w:t>
        <w:br/>
        <w:t xml:space="preserve">more than 150 million euros (Delek: 11.9 billion euros for the 2011 fiscal year; target service  </w:t>
        <w:br/>
        <w:t xml:space="preserve">stations: […] euros for the 2011 fiscal year). Each of them achieved a turnover in France exceeding  </w:t>
        <w:br/>
        <w:t xml:space="preserve">50 million euros (Delek: 995 million euros for the 2011 fiscal year; target service stations: […] euros  </w:t>
        <w:br/>
        <w:t xml:space="preserve">for the 2011 fiscal year). Given these turnover figures, the operation does not have a community  </w:t>
        <w:br/>
        <w:t xml:space="preserve">dimension. On the other hand, the control thresholds mentioned in I of Article L. 430-2 of the  </w:t>
        <w:br/>
        <w:t xml:space="preserve">Commercial Code are exceeded. This operation is therefore subject to the provisions of Articles L.  </w:t>
        <w:br/>
        <w:t xml:space="preserve">430-3 and following of the Commercial Code relating to economic concentration.  </w:t>
        <w:br/>
        <w:t xml:space="preserve">II. Delimitation of the relevant markets  </w:t>
        <w:br/>
        <w:t xml:space="preserve">5. Within the oil industry, the French and European competition authorities generally differentiate  </w:t>
        <w:br/>
        <w:t xml:space="preserve">between "upstream" activities and "downstream" activities2. Upstream, three types of activities are  </w:t>
        <w:br/>
        <w:t xml:space="preserve">distinguished: the search for new reserves (exploration), development (establishing the necessary  </w:t>
        <w:br/>
        <w:t xml:space="preserve">infrastructure for production: oil platforms, pipelines, terminals, etc.), and the commercial  </w:t>
        <w:br/>
        <w:t xml:space="preserve">exploitation of these reserves (production). Downstream activities include the refining of crude oil, as  </w:t>
        <w:br/>
        <w:t xml:space="preserve">well as the marketing of refined products and their distribution to end users.  </w:t>
        <w:br/>
        <w:t xml:space="preserve">6. In this case, the operation concerns downstream oil activities since the parties' activities only  </w:t>
        <w:br/>
        <w:t xml:space="preserve">overlap in retail sales. The wholesale fuel market will also be taken into account for the analysis of  </w:t>
        <w:br/>
        <w:t xml:space="preserve">the vertical effects of the operation.  </w:t>
        <w:br/>
        <w:t xml:space="preserve">2 See notably the letter from the Minister of Economy, Finance and Industry C2006-37 of April 19, 2006,  </w:t>
        <w:br/>
        <w:t xml:space="preserve">Vermillon / Esso, the decision of the Competition Authority No. 09-DCC-59 of October 26, 2009,  </w:t>
        <w:br/>
        <w:t xml:space="preserve">regarding the acquisition of 37 service stations from the Shell network by Total Raffinage Marketing SA,  </w:t>
        <w:br/>
        <w:t xml:space="preserve">and the decisions of the Commission in cases No. COMP/M.1383 – Exxon / Mobil; No. COMP/1628 –  </w:t>
        <w:br/>
        <w:t xml:space="preserve">TotalFina / Elf; No. COMP/M.1628, TotalFina / Elf, of February 9, 2000, paragraph 188; No. IV/M.1383,  </w:t>
        <w:br/>
        <w:t xml:space="preserve">Exxon / Mobil, of September 24, 1999, paragraph 441.  </w:t>
        <w:br/>
        <w:t xml:space="preserve">A. WHOLESALE FUEL SALES  </w:t>
        <w:br/>
        <w:t xml:space="preserve">7. According to decision-making practice, each refined product constitutes, in the wholesale channel, a  </w:t>
        <w:br/>
        <w:t xml:space="preserve">relevant product market considering the different uses, customers, and distribution channels  </w:t>
        <w:br/>
        <w:t xml:space="preserve">associated with each of these products3. Decision-making practice thus distinguishes separate markets  </w:t>
        <w:br/>
        <w:t xml:space="preserve">for the sale of gasoline, diesel, heating oil, fuel oil, and LPG.  </w:t>
        <w:br/>
        <w:t xml:space="preserve">8. Regarding the geographical delimitation of the market, the European Commission has noted that  </w:t>
        <w:br/>
        <w:t xml:space="preserve">factors related to transportation costs and the service areas of supply points tend to justify a local  </w:t>
        <w:br/>
        <w:t xml:space="preserve">dimension of the wholesale markets for refined products. The Commission nevertheless specifies that the  </w:t>
        <w:br/>
        <w:t xml:space="preserve">existence of some overlap between the catchment areas of various supply sources could broaden the  </w:t>
        <w:br/>
        <w:t xml:space="preserve">geographical area to be considered for competitive analysis.  </w:t>
        <w:br/>
        <w:t xml:space="preserve">9. The precise delimitation of the relevant market may, however, remain open insofar as, regardless of  </w:t>
        <w:br/>
        <w:t xml:space="preserve">the definition adopted, the competitive analysis will not be affected.  </w:t>
        <w:br/>
        <w:t xml:space="preserve">B. RETAIL FUEL SALES OFF HIGHWAYS  </w:t>
        <w:br/>
        <w:t xml:space="preserve">10. The competition authorities have considered that there exists a market for the retail sale of fuels  </w:t>
        <w:br/>
        <w:t xml:space="preserve">through service station networks, encompassing all types of fuels4. Furthermore, distribution on  </w:t>
        <w:br/>
        <w:t xml:space="preserve">highways is distinguished from distribution off highways, as the competition authorities have  </w:t>
        <w:br/>
        <w:t xml:space="preserve">considered that demand is more captive on highways.  </w:t>
        <w:br/>
        <w:t xml:space="preserve">11. The target service stations being all located in urban areas, city centers, or on free roads, the  </w:t>
        <w:br/>
        <w:t xml:space="preserve">competitive analysis will focus, in accordance with decision-making practice, on the market for the  </w:t>
        <w:br/>
        <w:t xml:space="preserve">retail sale of fuels off highways.  </w:t>
        <w:br/>
        <w:t xml:space="preserve">12. Regarding the geographical dimension of fuel sales at service stations off highways, national  </w:t>
        <w:br/>
        <w:t xml:space="preserve">competition authorities have considered in several decisions, while leaving the exact delimitation open,  </w:t>
        <w:br/>
        <w:t xml:space="preserve">that the market for the retail sale of fuels off highways was of local dimension5. The analysis is thus  </w:t>
        <w:br/>
        <w:t xml:space="preserve">carried out at the level of the catchment areas of each agglomeration or urban basin, grouping the  </w:t>
        <w:br/>
        <w:t xml:space="preserve">service stations located within or near the cities and villages concerned.  </w:t>
        <w:br/>
        <w:t xml:space="preserve">13. The European Commission also indicated in its decision M. 1464, Total/PetroFina, of March 26,  </w:t>
        <w:br/>
        <w:t xml:space="preserve">1999, that the market had a local character: "the geographical market for the sale of fuels must be  </w:t>
        <w:br/>
        <w:t xml:space="preserve">defined by reference to demand, constituted by motorists who refuel at stations near their centers of  </w:t>
        <w:br/>
        <w:t xml:space="preserve">activity, without traveling long distances. Consequently, the substitutability...  </w:t>
        <w:br/>
        <w:t xml:space="preserve">3 See notably the decisions of the Commission COMP/M.1383 and COMP/M.1464.  </w:t>
        <w:br/>
        <w:t xml:space="preserve">4 See notably the decisions of the Competition Authority 09-DCC-57 of October 15, 2009, and 09-DCC-60 of  </w:t>
        <w:br/>
        <w:t xml:space="preserve">October 28, 2009, regarding the acquisition of service stations from the Shell network by Picoty Réseau SAS  </w:t>
        <w:br/>
        <w:t xml:space="preserve">and Thevenin &amp; Ducrot Distribution, and the decisions of the Commission COMP/M.1383 and COMP/M.1464  </w:t>
        <w:br/>
        <w:t xml:space="preserve">mentioned above.  </w:t>
        <w:br/>
        <w:t xml:space="preserve">5 See notably the decisions of the Authority 09-DCC-57, 09-DCC-60 mentioned above; 09-DCC-94 of December 31,  </w:t>
        <w:br/>
        <w:t xml:space="preserve">2009, regarding the acquisition of assets from the Société des Pétroles Shell and the Total group by the Rubis  </w:t>
        <w:br/>
        <w:t xml:space="preserve">group in the retail fuel sector, and 11-DCC-102 of June 30, 2011, regarding the acquisition of the Société  </w:t>
        <w:br/>
        <w:t>Antillaise des Pétroles Chevron by the Rubis group.</w:t>
      </w:r>
    </w:p>
    <w:p>
      <w:r>
        <w:rPr>
          <w:b/>
        </w:rPr>
        <w:t>[Pages 4–5]</w:t>
      </w:r>
    </w:p>
    <w:p>
      <w:r>
        <w:t>between supply stations proves, on the demand side, to be geographically limited." However, in other decisions, it has inferred from the overlap between the catchment areas of service stations that the geographic market was of national dimension6.</w:t>
      </w:r>
    </w:p>
    <w:p>
      <w:r>
        <w:t>14. In this case, the notifying party considers that the market is of national dimension. However, it identifies nine areas (zones of Bordeaux, Orléans, La Rochelle, Tours, Angers, Montargis, Central France, Vierzon, and Bourges) where Delek already has a BP-branded service station and where several target service stations are also present. It proposes to consider a catchment area with a radius of 4 km for the Bordeaux agglomeration and a radius of 6 km for the other agglomerations.</w:t>
      </w:r>
    </w:p>
    <w:p>
      <w:r>
        <w:t>15. In any event, the question of the exact geographical definition of the local markets in question can be left open insofar as the conclusions of the competitive analysis will remain unchanged, regardless of the delimitation adopted.</w:t>
      </w:r>
    </w:p>
    <w:p>
      <w:r>
        <w:t>16. Finally, regarding any ancillary activities related to fuel sales7, such as tire inflation or the sale of lubricants, given the marginal nature of the volumes concerned and the presence of numerous retailers, other than service stations, likely to sell the considered products and services, they will not be subject to competitive analysis.</w:t>
      </w:r>
    </w:p>
    <w:p>
      <w:r>
        <w:t>III. Competitive Analysis</w:t>
      </w:r>
    </w:p>
    <w:p>
      <w:r>
        <w:t>17. Delek's main activity is the retail sale of fuels. The group also engages, upstream, in wholesale and storage activities, so it is necessary to examine the horizontal effects of the operation related to overlaps in activities in the downstream market of retail fuel sales, as well as the possible vertical effects on the wholesale and retail fuel markets.</w:t>
      </w:r>
    </w:p>
    <w:p>
      <w:r>
        <w:t>A. HORIZONTAL EFFECTS</w:t>
      </w:r>
    </w:p>
    <w:p>
      <w:r>
        <w:t>18. Regarding the retail sale of fuel, the notifying party emphasizes that the service stations it controls prior to the operation in the west Atlantic region are all located on highways, whereas the target stations are, on the contrary, all located off highways. Since the retail sale of fuel off highways constitutes a distinct market, it is therefore appropriate to conclude that there is no overlap between the target service stations of the acquisition and those already owned by Delek.</w:t>
      </w:r>
    </w:p>
    <w:p>
      <w:r>
        <w:t>19. At the national level, the cumulative market share of the stations already held by Delek and the target service stations will represent [0-5]% of the retail fuel sales market. Total Raffinage Marketing SA, Shell, Agip/ENI, Dyneff/Rompetro, and large retail players, whose market share off highways in France is estimated by the notifying party to be over 60%, are also present in this market.</w:t>
      </w:r>
    </w:p>
    <w:p>
      <w:r>
        <w:t>6 See in particular the Commission's decisions No. COMP/M.4919 – StatoilHydro /Conocophillips, dated October 21, 2008.</w:t>
      </w:r>
    </w:p>
    <w:p>
      <w:r>
        <w:t>7 See in this sense the decision of the Competition Authority 09-DCC-59 dated October 26, 2009 – regarding the acquisition of 37 service stations from the Shell network by Total Raffinage Marketing SA.</w:t>
      </w:r>
    </w:p>
    <w:p>
      <w:r>
        <w:t>20. In light of the above elements, the operation is not likely to harm competition through horizontal effects in the market for retail fuel sales off highways.</w:t>
      </w:r>
    </w:p>
    <w:p>
      <w:r>
        <w:t>B. VERTICAL EFFECTS</w:t>
      </w:r>
    </w:p>
    <w:p>
      <w:r>
        <w:t>21. The guidelines of the Competition Authority regarding the control of concentrations consider that it is unlikely that a company with a market share of less than 30% in a given market can lock in a downstream or upstream market. In this case, Delek's share in the French retail fuel sales market will be limited, after the operation, to [0-5]%.</w:t>
      </w:r>
    </w:p>
    <w:p>
      <w:r>
        <w:t>22. Furthermore, the notifying party emphasizes that the storage facilities owned by Delek are not located in the same region as those of the target service stations and that the latter will therefore be supplied through storage facilities other than those in which Delek holds shares.</w:t>
      </w:r>
    </w:p>
    <w:p>
      <w:r>
        <w:t>23. Given the preceding elements, the operation is not likely to harm competition due to vertical effects.</w:t>
      </w:r>
    </w:p>
    <w:p>
      <w:r>
        <w:t>DECIDES</w:t>
      </w:r>
    </w:p>
    <w:p>
      <w:r>
        <w:t>Sole Article: The operation notified under number 12-160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