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https://www.autoritedelaconcurrence.fr/fr/decision-de-controle-des-concentrations/relative-lacquisition-de-certains-actifs-de-la-societe-seem</w:t>
      </w:r>
    </w:p>
    <w:p>
      <w:r>
        <w:t>Pages translated : 6</w:t>
      </w:r>
    </w:p>
    <w:p/>
    <w:p>
      <w:r>
        <w:rPr>
          <w:b/>
        </w:rPr>
        <w:t>[Pages 1–3]</w:t>
      </w:r>
    </w:p>
    <w:p>
      <w:r>
        <w:t>FRENCH REPUBLIC</w:t>
        <w:br/>
        <w:t>Decision No. 11-DCC-41 of March 11, 2011</w:t>
        <w:br/>
        <w:t>regarding the acquisition of exclusive control by the company NeoElectra Group of certain assets of the company SEEM</w:t>
        <w:br/>
        <w:t>The Competition Authority,</w:t>
        <w:br/>
        <w:t>Having regard to the notification file sent to the merger service on January 11, 2011, declared complete on February 16, 2011, regarding the acquisition of exclusive control by the company NeoElectra Group of certain assets of the company SEEM, formalized by two transfer protocols dated December 24, 2010;</w:t>
        <w:br/>
        <w:t>Having regard to Book IV of the Commercial Code relating to the freedom of prices and competition, and in particular its Articles L. 430-1 to L. 430-7;</w:t>
        <w:br/>
        <w:t>Having regard to the supplementary elements transmitted by the parties during the investigation;</w:t>
        <w:br/>
        <w:t>Adopts the following decision:</w:t>
        <w:br/>
        <w:t>I. The companies concerned and the operation</w:t>
        <w:br/>
        <w:t>1. NeoElectra Group (hereinafter "NeoElectra") is a company governed by French law whose activity consists of managing peak electricity production and cogeneration plants as well as heating and cooling systems. NeoElectra is wholly owned by Cube Energy SCA (hereinafter "Cube Energy"), a company governed by Luxembourg law, which is itself held at [&gt;50]% by Cube Infrastructure Fund (hereinafter "Cube Infrastructure"), an investment fund managed by Natixis Environnement &amp; Infrastructure Luxembourg (hereinafter "NEIL"). NEIL is indirectly controlled by the company BPCE, the holding company of the BPCE group. The BPCE group holds, through Cube Energy and three other portfolio companies held by Cube Infrastructure, controlling interests in companies active in the energy sectors, particularly in the fields of managing solar and wind energy parks, the construction and operation of submarine fiber optic cables, the management of waste-to-energy facilities, water distribution and sanitation, and the design and construction of water treatment plants.</w:t>
      </w:r>
    </w:p>
    <w:p>
      <w:r>
        <w:t>2. The assets acquired by NeoElectra as a result of this transaction are sold by the company SEEM. These assets correspond to: (i) the entirety of the capital of the companies SEEM Île de France, Enerchauf, Cimeth, Sogesth, and Sani Nancy, active in the markets of heat production and supply, climate engineering works, and the management and operation of technical building installations; (ii) [&gt;50]% of the capital of the company Enerlor, primarily active in the market of climate engineering works; and (iii) [&gt;50]% of the company Enerpart, holding of Enertherm, which is engaged in the study, realization, and operation of installations for the production and distribution of heat, cold, and electricity in the La Défense district, within the framework of a public service delegation, of which NeoElectra currently holds [&lt;50]%.</w:t>
      </w:r>
    </w:p>
    <w:p>
      <w:r>
        <w:t>3. Under the terms of two transfer protocols dated December 24, 2010, it is provided that NeoElectra will take exclusive control of all these companies. This transaction therefore constitutes a concentration within the meaning of Article L. 430-1 of the Commercial Code.</w:t>
      </w:r>
    </w:p>
    <w:p>
      <w:r>
        <w:t>4. The companies concerned have achieved a consolidated turnover excluding taxes worldwide of more than 150 million euros in the last closed financial year (the BPCE group: 21.2 billion euros in the last closed financial year in 2009; all assets sold by SEEM: […] million euros in the last closed financial year in 2010). Each of these companies has achieved, in France, a turnover exceeding 50 million euros (the BPCE group: 19.3 billion euros in the last closed financial year in 2009; all assets sold by SEEM: […] million euros in the last closed financial year in 2010). Given these turnover figures, the transaction does not have a community dimension. However, the control thresholds mentioned in I of Article L. 430-2 of the Commercial Code are exceeded. This transaction is therefore subject to the provisions of Articles L. 430-3 and following of the Commercial Code relating to economic concentration.</w:t>
      </w:r>
    </w:p>
    <w:p>
      <w:r>
        <w:t>II. Delimitation of the relevant markets</w:t>
        <w:br/>
        <w:t>5. Given the various activities carried out by the parties, this transaction entails overlaps in the markets for the delegated management of heating networks, the production and wholesale of electricity, and the production and supply of heat.</w:t>
      </w:r>
    </w:p>
    <w:p>
      <w:r>
        <w:t>6. Some companies over which NeoElectra will take exclusive control as a result of the transaction are also active in the markets for climate engineering works and the management and operation of technical building installations. However, given the extremely low level of the position held by all these companies in the aforementioned markets (less than [0-5]%), any risk of harm to competition through non-horizontal effects can already be ruled out.</w:t>
      </w:r>
    </w:p>
    <w:p>
      <w:r>
        <w:t>A. THE MARKET FOR DELEGATED MANAGEMENT OF HEATING NETWORKS</w:t>
        <w:br/>
        <w:t>1. SERVICE MARKET</w:t>
        <w:br/>
        <w:t>7. Heating networks are collective facilities for the distribution of heat, produced in the form of steam or hot water by centralized production units allowing the supply of public and private establishments with heating and domestic hot water. A heating network includes (i) one or more heat sources, consisting of one or more heat production units (boiler rooms) operating using one or more energy sources which can be a fuel (solid, liquid, or gaseous), electricity, or heat recovery units (household waste incineration, industrial heat), geothermal energy, another heating network, or a cogeneration installation, and (ii) a network of pipelines (referred to as the "primary network") using public or private roadways, leading to delivery points of heat to users (substations). Secondary networks of pipelines, distributing heat to users downstream of these delivery points, do not in fact form part of the "network" itself.</w:t>
      </w:r>
    </w:p>
    <w:p>
      <w:r>
        <w:t>8. National and community competition authorities have considered that heating networks should be distinguished from cooling networks even though they operate according to the same principles.</w:t>
      </w:r>
    </w:p>
    <w:p>
      <w:r>
        <w:t>9. The public distribution of heat falls under the competence of local authorities which can either manage it themselves, with their own services, in full (generally in-house), or delegate this management to a public or private operator within the framework of a public service delegation (hereinafter "DSP"). National and community competition authorities have considered that networks managed in-house could not be integrated into the market for the management of heating networks in which specialized operators intervene within the framework of DSPs.</w:t>
      </w:r>
    </w:p>
    <w:p>
      <w:r>
        <w:t>10. The market for services in question is therefore that of the delegated management of heating networks.</w:t>
      </w:r>
    </w:p>
    <w:p>
      <w:r>
        <w:t>2. GEOGRAPHICAL MARKET</w:t>
        <w:br/>
        <w:t>11. Previous national and community decision-making practice has considered that the market for heating networks has a national dimension. There is no reason to challenge this delimitation during the examination of the present transaction.</w:t>
      </w:r>
    </w:p>
    <w:p>
      <w:r>
        <w:rPr>
          <w:b/>
        </w:rPr>
        <w:t>[Pages 4–6]</w:t>
      </w:r>
    </w:p>
    <w:p>
      <w:r>
        <w:t>B. THE MARKET FOR ELECTRICITY PRODUCTION AND WHOLESALE</w:t>
        <w:br/>
        <w:t>12. Regarding the electricity sector, national and community competition authorities generally distinguish the following product markets from upstream to downstream: (i) production and wholesale, (ii) trading, (iii) transmission, (iv) distribution, (v) retail supply of electricity. Given the activities of the parties to the operation, only the market for electricity production and wholesale is concerned in this case.</w:t>
        <w:br/>
        <w:t>13. The market for electricity production and wholesale includes, on the supply side, not only the electricity produced by power plants but also electricity imports into France via interconnections. Producers and importers sell electricity wholesale to operators supplying end consumers, to traders, or to large industrial customers.</w:t>
        <w:br/>
        <w:t>14. National and community competition authorities consider that electricity markets are of national dimension, notably due to the diversity of the regulatory systems in place.</w:t>
        <w:br/>
        <w:t>15. There is no reason to challenge this delineation in the context of the present operation.</w:t>
        <w:br/>
        <w:t>C. THE MARKET FOR HEAT PRODUCTION AND SUPPLY</w:t>
        <w:br/>
        <w:t>16. According to the decision-making practice of both national and community competition authorities, the operation of production systems and the delivery of heat constitutes a distinct market. The Commission has further specified that to produce heat, the installations used can employ different types of fuels including coal, black ash, natural gas, coke oven gas, biomass, and fuel oil.</w:t>
        <w:br/>
        <w:t>17. Competition authorities have considered that the market for heat production and supply is of local dimension due to the loss of efficiency caused by the transport of heat over long distances. There is no reason to challenge this delineation in the context of the examination of the present operation.</w:t>
        <w:br/>
        <w:t>18. In this case, NeoElectra is present in the market for heat production and supply in Normandy (through the companies NeoElectra du Rouvray and NeoElectra du Rouvray II) as well as in Île-de-France (through the company Vigneaux). The assets acquired in the context of this operation correspond to heat production and supply activities located in the Île-de-France region (companies SEEM Île-de France and Enerchauf), Rhône Alpes (company Sogesth), and Lorraine (company Enerlor).</w:t>
        <w:br/>
        <w:t>19. Consequently, the operation only results in an overlap of activities in the market for heat production and supply in Île-de-France.</w:t>
        <w:br/>
        <w:t>III. Competitive Analysis</w:t>
        <w:br/>
        <w:t>A. THE MARKET FOR DELEGATED MANAGEMENT OF HEATING NETWORKS</w:t>
        <w:br/>
        <w:t>20. Enerpart, through its subsidiary Enertherme, operates the urban heating network in the La Défense district. NeoElectra, for its part, has entered into three public service delegation contracts with local authorities: the network of the city of Clichy-sous-Bois; the network of the city of Bondy; the network of the city of Saint-Jean-en-Royans.</w:t>
        <w:br/>
        <w:t>21. Regarding the appropriate indicator for assessing market shares in the delegated management of heating networks, the Authority has recently noted, like the European Commission, that the assessment of operators' positions in terms of the number of networks reflects their past success and overestimates the importance of small networks. The Authority has therefore considered that the volume (in GWh) and revenue (in millions of euros) of the managed networks also constitute relevant indicators for calculating market shares.</w:t>
        <w:br/>
        <w:t>22. Following the operation, in the French market for the delegated management of heating networks, NeoElectra's position will, according to the parties' estimates, be [0-5]% (including [0-5]% for Enerpart) calculated in volume (GWh) and [0-5]% in value (including [0-5]% for Enerpart). Furthermore, in this market, the new entity will remain subject to competition from large groups such as GDF Suez and Dalkia.</w:t>
        <w:br/>
        <w:t>23. In light of the above, the present operation is not likely to harm competition in the French market for the delegated management of heating networks.</w:t>
        <w:br/>
        <w:t>B. THE MARKET FOR ELECTRICITY PRODUCTION AND WHOLESALE</w:t>
        <w:br/>
        <w:t>24. Enerpart operates in this market through Enertherme under the public service delegation contract for La Défense, producing electricity through cogeneration from a plant located in Nanterre. NeoElectra, for its part, produces electricity through independent cogeneration from fossil energy. Once the operation is completed, the new entity will hold a position below [0-5]% in the French market for electricity production and wholesale.</w:t>
        <w:br/>
        <w:t>25. Therefore, the present operation is not likely to harm competition in the national market for electricity production and wholesale.</w:t>
        <w:br/>
        <w:t>C. THE MARKET FOR HEAT PRODUCTION AND SUPPLY</w:t>
        <w:br/>
        <w:t>26. In the local market for heat production and supply, the present operation results in a unique overlap of activities in Île-de-France. In this region, NeoElectra is present through its subsidiary Vigneaux, whose market share, according to the parties' estimates, does not exceed [0-5]%. For its part, SEEM is active in Île-de-France through its subsidiaries SEEM Île-de France and Enerchauf, which together hold a market share of [0-5]%. Thus, following the operation, NeoElectra's position will rise to [0-5]%. It will also continue to face competition from powerful groups such as GDF-Suez or Dalkia.</w:t>
        <w:br/>
        <w:t>27. In light of the above, the present operation is not likely to harm competition in the market for heat production and supply in Île-de-France.</w:t>
        <w:br/>
        <w:t>DECIDES</w:t>
        <w:br/>
        <w:t>Sole Article: The operation notified under number 11-0006 is authorized.</w:t>
        <w:b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