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https://www.autoritedelaconcurrence.fr/fr/decision-de-controle-des-concentrations/relative-lacquisition-de-cinq-fonds-de-commerce-detenus-par</w:t>
      </w:r>
    </w:p>
    <w:p>
      <w:r>
        <w:t>Pages translated : 2</w:t>
      </w:r>
    </w:p>
    <w:p/>
    <w:p>
      <w:r>
        <w:rPr>
          <w:b/>
        </w:rPr>
        <w:t>[Pages 1–2]</w:t>
      </w:r>
    </w:p>
    <w:p>
      <w:r>
        <w:t xml:space="preserve">FRENCH REPUBLIC  </w:t>
        <w:br/>
        <w:t xml:space="preserve">Decision No. 12-DCC-62 of May 11, 2012  </w:t>
        <w:br/>
        <w:t xml:space="preserve">regarding the acquisition of five businesses owned by the  </w:t>
        <w:br/>
        <w:t xml:space="preserve">companies Mainland Motors, Doumer Auto, and Autodex by the company  </w:t>
        <w:br/>
        <w:t xml:space="preserve">Ranj Invest  </w:t>
        <w:br/>
        <w:t xml:space="preserve">The Competition Authority,  </w:t>
        <w:br/>
        <w:t xml:space="preserve">Having regard to the complete notification file sent to the mergers department on April 18, 2012,  </w:t>
        <w:br/>
        <w:t xml:space="preserve">concerning the acquisition of five businesses owned by the companies Mainland Motors,  </w:t>
        <w:br/>
        <w:t xml:space="preserve">Doumer Auto, and Autodex by the company Ranj Invest, formalized by a promise of sale dated April 10, 2012;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of five businesses owned by  </w:t>
        <w:br/>
        <w:t xml:space="preserve">the companies Mainland Motors, Doumer Auto, and Autodex, operating Toyota brand car dealerships located in the departments of Yvelines (78) and Val d’Oise (95), by the company Ranj Invest, which itself operates Peugeot and Seat brand car dealerships located in the same departments. It constitutes a concentration operation within the meaning of Article L. 430-1 of the Commercial Code. Given the turnover achieved by the companies concerned, the operation does not have a community dimension. On the other hand, the retail trade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12-062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