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https://www.autoritedelaconcurrence.fr/fr/decision-de-controle-des-concentrations/relative-lacquisition-de-deux-fonds-de-commerce-alimentaire</w:t>
      </w:r>
    </w:p>
    <w:p>
      <w:r>
        <w:t>Pages translated : 6</w:t>
      </w:r>
    </w:p>
    <w:p/>
    <w:p>
      <w:r>
        <w:rPr>
          <w:b/>
        </w:rPr>
        <w:t>[Pages 1–3]</w:t>
      </w:r>
    </w:p>
    <w:p>
      <w:r>
        <w:t xml:space="preserve">FRENCH REPUBLIC  </w:t>
        <w:br/>
        <w:t xml:space="preserve">Decision No. 11-DCC-199 of December 15, 2011  </w:t>
        <w:br/>
        <w:t xml:space="preserve">regarding the acquisition of two food retail businesses of the  </w:t>
        <w:br/>
        <w:t>Galeries Lafayette group by Monoprix Exploitation</w:t>
      </w:r>
    </w:p>
    <w:p>
      <w:r>
        <w:t xml:space="preserve">The Competition Authority,  </w:t>
        <w:br/>
        <w:t xml:space="preserve">Having regard to the notification file submitted in full to the concentrations service on November 14, 2011, regarding the acquisition of two food-dominant businesses located in Bron and Nantes belonging to the Galeries Lafayette group by Monoprix, formalized by a letter of intent dated October 27, 2011;  </w:t>
        <w:br/>
        <w:t xml:space="preserve">Having regard to the additional information provided by the parties during the investigation;  </w:t>
        <w:br/>
        <w:t xml:space="preserve">Having regard to Book IV of the Commercial Code relating to the freedom of prices and competition, and in particular Articles L. 430-1 to L. 430-7;  </w:t>
        <w:br/>
        <w:t>Adopts the following decision:</w:t>
      </w:r>
    </w:p>
    <w:p>
      <w:r>
        <w:t xml:space="preserve">I. The concerned companies and the operation  </w:t>
        <w:br/>
        <w:t xml:space="preserve">1. Monoprix Exploitation is the entity of the Monoprix group that operates 404 points of sale under the brands Monoprix, Inno, Monop’, Dailymonop, Beautymonop, and Naturalia. The Monoprix brand includes points of sale with an average size of 1,800 m² offering food products as well as a wide assortment of other products such as clothing, decorative items, cosmetics, etc. The Monop’ brand includes points of sale with an average size of 300 m² also offering food products as well as beauty, DIY, and stationery products. The Dailymonop brand includes food retail points of sale with an average size of 100 m². Finally, the Naturalia and Beautymonop brands offer organic and natural products and beauty and hygiene products, respectively. The Monoprix group is jointly controlled by the Galeries Lafayette and Casino groups1.  </w:t>
        <w:br/>
        <w:t xml:space="preserve">2. The Casino group manages a network of over 9,400 stores in France (hypermarkets, supermarkets, convenience stores, discount stores) under the brands Géant Casino, Casino Supermarché, Petit Casino, Franprix, Spar, Vival, and Leader Price. It is also present in the internet distribution sector of non-food products under the brand Cdiscount. The Casino group belongs to the Euris group, which is itself controlled by Mr. Jean-Charles Naouri.  </w:t>
        <w:br/>
        <w:t xml:space="preserve">3. The Galeries Lafayette group operates in various business sectors. Firstly, it is present in the retail sale of consumer goods mainly through the brands Galeries Lafayette (sale of fashion, beauty, and home articles), BHV (primarily sale of DIY, decoration, and home improvement articles), as well as Royal Quartz and Louis Pion (sale of watchmaking articles). It offers high-end food products through its Lafayette Gourmet stores. Secondly, it is present in the sector of intermediation and customer relations, through the company Lafayette Services2. Lastly, it offers consumer credit services, mainly through the brand Cofinoga. The capital of the Galeries Lafayette group is almost exclusively held by the company Motier, whose capital is entirely shared among members of the X family3.  </w:t>
        <w:br/>
        <w:t xml:space="preserve">4. The businesses currently owned by the Galeries Lafayette group located in Bron (69) and Nantes (hereinafter "the businesses") are currently operated under the Lafayette Gourmet brand, a fine grocery brand of the Galeries Lafayette group.  </w:t>
        <w:br/>
        <w:t xml:space="preserve">5. The operation formalized by a letter of intent dated October 27, 2011, provides for the transfer of the businesses to Monoprix Exploitation, which will operate them under the Monoprix brand. Since the Monoprix group is jointly controlled by the Casino and Galeries Lafayette groups, on the one hand, and since the Lafayette group already controlled the businesses, the operation results in the transition from exclusive control of the Galeries Lafayette group over the two businesses to joint control of the Galeries Lafayette and Casino groups over the businesses. The notified operation therefore constitutes a concentration within the meaning of Article L.430-1 of the Commercial Code.  </w:t>
        <w:br/>
        <w:t>6. The concerned companies4 together achieve a total worldwide turnover of over 75 million euros (Monoprix group5: […] billion euros for the fiscal year ending December 31, 2010; the businesses: […] million euros for the same year). Each achieves, in France, a turnover exceeding 15* million euros (Monoprix group: […] billion euros for the fiscal year ending December 31, 2010; the businesses: […] million euros for the same year). Given these turnover figures, the operation does not have a community dimension. However, the thresholds of control mentioned in point II of Article L. 430-2 of the Commercial Code relating to retail trade are exceeded. The present operation is therefore subject to the provisions of Articles L. 430-3 and following of the Commercial Code relating to economic concentration.</w:t>
      </w:r>
    </w:p>
    <w:p>
      <w:r>
        <w:t xml:space="preserve">II. Definition of Relevant Markets  </w:t>
        <w:br/>
        <w:t>7. According to the consistent practice of national and community competition authorities, two categories of markets can be defined in the food-dominant distribution sector6. These are, on the one hand, the "downstream" markets, of local dimension, which involve retail businesses and consumers for the sale of consumer goods and, on the other hand, the "upstream" markets for the supply of retail businesses with everyday consumer goods, of national dimension.</w:t>
      </w:r>
    </w:p>
    <w:p>
      <w:r>
        <w:t xml:space="preserve">A. DOWNSTREAM MARKETS OF DISTRIBUTION  </w:t>
        <w:br/>
        <w:t xml:space="preserve">1. SERVICE MARKETS  </w:t>
        <w:br/>
        <w:t xml:space="preserve">8. Regarding the retail sale of everyday consumer goods, competition authorities, both community and national7, have distinguished six categories of commerce using several criteria, including store size, sales techniques, accessibility, the nature of the service provided, and the range of products offered: (i) hypermarkets, (ii) supermarkets, (iii) specialized commerce, (iv) small retail commerce, (v) large discounters, (vi) mail order sales.  </w:t>
        <w:br/>
        <w:t xml:space="preserve">9. Hypermarkets are usually defined as food-dominant stores with a legal sales area equal to or greater than 2,500 m². Supermarkets, for their part, are usually considered food-dominant stores with a sales area of less than 2,500 m² and greater than 400 m². These thresholds must, however, be used with caution and may be adapted to the specific case when stores have a size close to a threshold, either below or above, and may be in direct competition in practice.  </w:t>
        <w:br/>
        <w:t xml:space="preserve">10. In this case, the Bron store currently occupies a sales area of 2,596 m², which is expected to be increased to 2,650 m² after renovations and thus falls into the category of hypermarkets. The Nantes store occupies a sales area of 932 m², thus falling into the category of supermarkets.  </w:t>
        <w:br/>
        <w:t xml:space="preserve">6 Decisions of the Commission M.1684 Carrefour/Promodès of January 25, 2000, and M.2115 Carrefour/GB of September 28, 2000. See also the letter from the Minister C2005-98 of November 10, 2005, to the boards of the Carrefour group, regarding a concentration in the food retail sector.  </w:t>
        <w:br/>
        <w:t>7 Letters from the Minister C2005-98 of November 10, 2005, to the boards of the Carrefour group, regarding a concentration in the food retail sector; C2006-15 of April 14, 2006, regarding a concentration in the food retail sector; C2007-154 of December 3, 2007, to the board of the Système U Centrale Régionale Sud, regarding a concentration in the food retail sector; C2007-172 of February 13, 2008, to Mr. President of the Carrefour group, regarding a concentration in the food retail sector; C2008-32 of July 9, 2008, to the President of Amidis &amp; Compagnie, regarding a concentration in the food-dominant distribution sector.</w:t>
      </w:r>
    </w:p>
    <w:p>
      <w:r>
        <w:rPr>
          <w:b/>
        </w:rPr>
        <w:t>[Pages 4–6]</w:t>
      </w:r>
    </w:p>
    <w:p>
      <w:r>
        <w:t xml:space="preserve">2. GEOGRAPHICAL DELIMITATION  </w:t>
        <w:br/>
        <w:t xml:space="preserve">11. In its recent decisions regarding operations involving hypermarkets or supermarkets8, the Competition Authority has reiterated that depending on the size of the stores concerned, the conditions of competition must be assessed in two different areas:  </w:t>
        <w:br/>
        <w:t xml:space="preserve">- a first market where, on the one hand, the demand of consumers from a zone meets, and on the other hand, the supply of hypermarkets to which they have access within less than 30 minutes of travel by car and which are, from their point of view, substitutable with each other;  </w:t>
        <w:br/>
        <w:t xml:space="preserve">- a second market where, on the one hand, the demand of consumers meets, and on the other hand, the supply of supermarkets and equivalent forms of commerce located within less than 15 minutes of travel time by car. These latter forms of commerce may include, in addition to supermarkets, hypermarkets located close to consumers and discount stores.  </w:t>
        <w:br/>
        <w:t xml:space="preserve">12. Other criteria may nevertheless be taken into account to assess the impact of a concentration on the competitive situation in the retail distribution markets, which may lead to refining the usual delimitations.  </w:t>
        <w:br/>
        <w:t xml:space="preserve">13. In this case, the Bron store, falling into the category of hypermarkets, will be analyzed competitively on both markets, one including hypermarkets located within a 30-minute radius around the Bron store and the other including all hypermarkets, supermarkets, and maxi-discount stores located within a 15-minute catchment area around this store. The Nantes store, falling into the category of supermarkets, will be analyzed competitively on the market including all hypermarkets, supermarkets, and maxi-discount stores located within a 15-minute catchment area around this store.  </w:t>
        <w:br/>
        <w:t xml:space="preserve">B. UPSTREAM SUPPLY MARKETS  </w:t>
        <w:br/>
        <w:t xml:space="preserve">14. Regarding the supply markets, the European Commission9 has recognized the existence of nationally sized markets by major product groups, a delimitation followed by national authorities10.  </w:t>
        <w:br/>
        <w:t xml:space="preserve">15. There is no reason to challenge this delimitation in the context of the present operation.  </w:t>
        <w:br/>
        <w:t xml:space="preserve">8 See in particular decisions No. 09-DCC-04 of April 29, 2009, regarding the takeover of the company Noukat by the company d’Exploitation Amidis &amp; Cie SAS, a subsidiary of the Carrefour group; No. 09-DCC-06 of May 20, 2009, regarding the exclusive control of the company Evolis SAS by the company ITM Entreprises; No. 09-DCC-10 of May 28, 2009, regarding the exclusive control of the company Frandis by the company Financière Perdis; No. 09-DCC-24 of July 23, 2009, regarding the exclusive control of the company Floritine by the company CSF, a subsidiary of the Carrefour group.  </w:t>
        <w:br/>
        <w:t xml:space="preserve">9 See the Commission decisions M.1684 Carrefour/Promodès of January 25, 2000, and M.2115 Carrefour/GB of September 28, 2000.  </w:t>
        <w:br/>
        <w:t>10 See in particular decisions C2007-172 Carrefour Plane/Plamidis of February 13, 2008, C2006-15 Amidis/Hamon of April 14, 2006, 2005-98 Carrefour/Penny market of November 19, 2005.</w:t>
      </w:r>
    </w:p>
    <w:p>
      <w:r>
        <w:t xml:space="preserve">III. Competitive Analysis  </w:t>
        <w:br/>
        <w:t xml:space="preserve">A. DOWNSTREAM DISTRIBUTION MARKETS  </w:t>
        <w:br/>
        <w:t xml:space="preserve">16. It should be noted at the outset that, apart from its holdings in business assets, the Lafayette group does not hold any other food retail space in the catchment areas considered. Furthermore, the market shares attributed to the Bron point of sale have been calculated taking into account the total sales area and not just the food sales area, as the distribution between the sales area used for food and that used for non-food has not yet been determined.  </w:t>
        <w:br/>
        <w:t xml:space="preserve">17. In the market including hypermarkets located within a 30-minute catchment area by car around the Bron store, this store represents [0-5]% of the sales areas11. The Monoprix group currently does not operate any other hypermarkets in this area while the Casino group (excluding the Monoprix group) represents [0-5]% of the sales areas. These stores face competition from hypermarkets operated under the brands Carrefour ([40-50]%), Auchan ([20-30]%), and Leclerc ([10-20]%).  </w:t>
        <w:br/>
        <w:t xml:space="preserve">18. Similarly, in the market including all hypermarkets, supermarkets, and maxi-discount stores located within a 15-minute radius around the Bron store, this store represents [0-5]% of the total sales areas. The Monoprix group currently holds [5-10]% of the sales areas. The Casino group (excluding the Monoprix group) also holds [20-30]% of the sales areas in the zone. These stores therefore represent overall [20-30]% of the sales areas and face competition from stores operated under the brands Carrefour ([20-30]%), Auchan ([10-20]%), Système U ([5-10]%), and Intermarché ([5-10]%).  </w:t>
        <w:br/>
        <w:t xml:space="preserve">19. In the market including all hypermarkets, supermarkets, and maxi-discount stores located within a 15-minute drive around the Nantes store, this store represents [0-5]% of the total sales areas. The Monoprix group currently holds [0-5]% of the sales areas. The Casino group (excluding the Monoprix group) also holds [5-10]% of the sales areas in the zone. These stores therefore represent overall [5-10]% of the sales areas and notably face competition from stores operated under the brands Leclerc ([30-40]%), Carrefour ([20-30]%), Système U ([10-20]%), Intermarché ([10-20]%), and Lidl ([5-10]%).  </w:t>
        <w:br/>
        <w:t xml:space="preserve">20. The stores of the Casino and Lafayette groups remain confronted, in the catchment areas concerned by the operation, with the competition from several stores, backed by major food distribution groups. Consequently, the operation is not likely to harm competition in the downstream markets.  </w:t>
        <w:br/>
        <w:t xml:space="preserve">B. UPSTREAM SUPPLY MARKETS  </w:t>
        <w:br/>
        <w:t xml:space="preserve">21. Regarding the upstream supply markets, the two business assets were already sourcing nearly 90% from the purchasing center of the Monoprix group, which is itself affiliated with the Casino group’s reference center, EMC Distribution.  </w:t>
        <w:br/>
        <w:t>11 The sales area used to calculate the market share of the Bron store corresponds to that after renovations, i.e., 2650 m².</w:t>
      </w:r>
    </w:p>
    <w:p>
      <w:r>
        <w:t xml:space="preserve">The operation is therefore not likely to significantly strengthen the purchasing power of the Casino group, across all products as well as by major product groups.  </w:t>
        <w:br/>
        <w:t xml:space="preserve">22. Consequently, the operation is not likely to harm competition in either the downstream market or the upstream supply market.  </w:t>
        <w:br/>
        <w:t xml:space="preserve">DECIDES  </w:t>
        <w:br/>
        <w:t xml:space="preserve">Sole Article: The operation notified under number 11-211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