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https://www.autoritedelaconcurrence.fr/fr/decision-de-controle-des-concentrations/relative-lacquisition-de-la-sas-ansamble-par-le-groupe</w:t>
      </w:r>
    </w:p>
    <w:p>
      <w:r>
        <w:t>Pages translated : 8</w:t>
      </w:r>
    </w:p>
    <w:p/>
    <w:p>
      <w:r>
        <w:rPr>
          <w:b/>
        </w:rPr>
        <w:t>[Pages 1–3]</w:t>
      </w:r>
    </w:p>
    <w:p>
      <w:r>
        <w:t xml:space="preserve">FRENCH REPUBLIC  </w:t>
        <w:br/>
        <w:t xml:space="preserve">Decision No. 12-DCC-68 of May 23, 2012  </w:t>
        <w:br/>
        <w:t xml:space="preserve">regarding the acquisition of SAS Ansamble by the Elior group  </w:t>
        <w:br/>
        <w:t xml:space="preserve">The Competition Authority,  </w:t>
        <w:br/>
        <w:t xml:space="preserve">Having regard to the notification file sent to the merger service on March 30, 2012, and declared complete on April 13, 2012, concerning the acquisition of SAS Ansamble by the Elior group, formalized by a share transfer agreement dated March 29, 2012;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The company Holding Bercy Investissement (hereinafter "HBI") heads the Elior group. It notably controls Elior SCA (hereinafter "Elior"), which itself holds 100% of Newco1, which is to carry out the present acquisition. HBI is a French limited partnership with a single general partner, the company Bercy Présidence SAS, and several limited partners, including the investment fund Charterhouse (61.33%), the company Bagatelle Investissement et Management SAS (hereinafter "BIM") (24.33%), which is wholly owned by Robert Zolade, the investment fund Chequers (7.71%), and other minority shareholders (6.63%). The company HBI, and thus the Elior group, is jointly controlled by Charterhouse and Mr. Robert Zolade2. The Charterhouse fund is not, for its part, controlled within the meaning of competition law3.  </w:t>
        <w:br/>
        <w:t xml:space="preserve">1 Formerly Bercy Services XXI and now Ansamble Investissements.  </w:t>
        <w:br/>
        <w:t xml:space="preserve">2 See the European Commission decision COMP/M.4202, Charterhouse/Elior, of May 19, 2006, and the decision of the Competition Authority 10-DCC-76 of July 9, 2010, regarding the exclusive control of the company Sin&amp;Stes by the Elior group.  </w:t>
        <w:br/>
        <w:t>3 See the aforementioned decision of the Authority 10-DCC-76.</w:t>
      </w:r>
    </w:p>
    <w:p>
      <w:r>
        <w:t xml:space="preserve">2. The Elior group is primarily active in Europe, Latin America, and North America, in the sectors of collective catering and concession catering. It also engages in providing cleaning services in hospital and school environments and in the technical and administrative management of real estate complexes ("facility management").  </w:t>
        <w:br/>
        <w:t xml:space="preserve">3. The Ansamble group (hereinafter "Ansamble") consists of SAS Ansamble and its 100% subsidiaries, ARS SARL, SCI Les Pins, SCI Les Rives d’Atlantis, and SARL Comsoger. The capital of SAS Ansamble is almost entirely held by Elan SA, which is controlled by the founder of the Ansamble group, Mr. René Lancien. Ansamble is solely active in the field of collective catering.  </w:t>
        <w:br/>
        <w:t xml:space="preserve">4. Under the terms of the share transfer agreement dated March 29, 2012, Newco will acquire almost all of the shares of SAS Ansamble. As it results in the exclusive control of the Ansamble company by Newco, the operation constitutes a concentration operation within the meaning of Article L. 430-1 of the Commercial Code.  </w:t>
        <w:br/>
        <w:t xml:space="preserve">5. The concerned companies together achieve a total worldwide turnover of more than 150 million euros (Charterhouse: […] billion euros for 2011; Ansamble group: […] million euros). At least two of these companies achieve a turnover in France exceeding 50 million euros (Charterhouse: […] billion euros; Ansamble group: […] million euros).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6. The Elior group and Ansamble are simultaneously active in the collective catering sector. Furthermore, the Elior group is solely present in the markets for industrial cleaning and the technical and administrative management of real estate complexes, markets that will be taken into account for the analysis of conglomerate effects. Neither Charterhouse nor Mr. Zolade control any companies, other than the Elior group, active in these markets, or in upstream, downstream, or related markets.  </w:t>
        <w:br/>
        <w:t xml:space="preserve">A. THE COLLECTIVE CATERING MARKET  </w:t>
        <w:br/>
        <w:t xml:space="preserve">1. PRODUCT MARKET  </w:t>
        <w:br/>
        <w:t xml:space="preserve">7. The collective catering activity consists of preparing and serving complete meals, as well as all necessary services for the distribution of these meals, on behalf of clients who have decided to outsource this activity. Both community4 and national5 decisional practice considers that this activity constitutes a distinct relevant market. The decisional practice notably distinguishes collective catering from concession catering, which consists of providing a catering service in areas primarily dedicated to another activity (airports, train stations, museums, retail, etc.), as confirmed by the market players interviewed.  </w:t>
        <w:br/>
        <w:t xml:space="preserve">8. The clientele of collective catering mainly consists of private or public companies, educational or university institutions, healthcare establishments, or even penitentiary institutions. The clients are distinct from the final consumers, whose presence in the establishment is frequent or prolonged, which explains the need to dine there, although having a meal is not the primary reason for their presence in the frequented location. The client pays the service provider, while the meals are generally sold at a subsidized price to the final consumer.  </w:t>
        <w:br/>
        <w:t xml:space="preserve">9. The decisional practice considers that it is not relevant to make distinctions between the different areas of activity of the clientele, as the main providers adapt their offers according to the type of clients. Collective catering operators and the clients interviewed confirm this practice.  </w:t>
        <w:br/>
        <w:t xml:space="preserve">2. GEOGRAPHICAL MARKET  </w:t>
        <w:br/>
        <w:t xml:space="preserve">10. The decisional practice6 has considered that the collective catering market is of national dimension. Consumer preferences based on countries, outsourcing habits for this type of service, and significant differences in national legislation relating to labor law and tendering procedures justify this geographical delimitation. Almost all market players interviewed indicate that the dimension of the collective catering market is indeed national.  </w:t>
        <w:br/>
        <w:t xml:space="preserve">11. There is no reason to challenge this delimitation during the examination of the present operation.  </w:t>
        <w:br/>
        <w:t xml:space="preserve">B. THE INDUSTRIAL CLEANING MARKETS  </w:t>
        <w:br/>
        <w:t xml:space="preserve">12. Community and national decisional practice7 considers that industrial cleaning services must be distinguished from other business services. These services include "industrial cleaning services for all types of companies (industrial, tertiary) and for all types of surfaces to be cleaned (premises, factories, etc.)"8. The decisional practice has considered making a distinction within the industrial cleaning market between cleaning services for "professional premises for administrative or commercial purposes" ("classic cleaning") and those "consisting of cleaning facilities."  </w:t>
        <w:br/>
        <w:t xml:space="preserve">5 See the letters from the Minister of Economy, Finance and Employment C2007-69 of June 13, 2007, to the boards of the company Avenance and C2008-85 of September 15, 2008, to the board of the company Sodexo, and the decision of the Competition Authority 10-DCC-76 mentioned above.  </w:t>
        <w:br/>
        <w:t xml:space="preserve">6 See the letter from the Minister C2007-69 mentioned above and the decision of the Authority 10-DCC-76 mentioned above.  </w:t>
        <w:br/>
        <w:t xml:space="preserve">7 See in particular the decisions of the European Commission IV/M.1059, Suez Lyonnaise des Eaux/BFI, of December 19, 1997, and IV/M1572, ISS/Abilis, of July 5, 1999, the letters from the Minister of Economy, Finance and Industry C2005-03 dated February 16, 2005, and C2008-88 of September 11, 2008, relating to concentrations in the industrial cleaning sector, and the decisions of the Competition Authority 09-DCC-33 of July 30, 2009, regarding the exclusive control of the company Veolia Propreté Nettoyage et Multiservices by the company TFN Développement and the aforementioned 10-DCC-76.  </w:t>
        <w:br/>
        <w:t>8 See in particular the letter C2008-88 mentioned above.</w:t>
      </w:r>
    </w:p>
    <w:p>
      <w:r>
        <w:rPr>
          <w:b/>
        </w:rPr>
        <w:t>[Pages 4–6]</w:t>
      </w:r>
    </w:p>
    <w:p>
      <w:r>
        <w:t>industrial, production tools, machines, and tanks" ("technical or specific cleaning"). This question has nevertheless been left open. Within the technical cleaning services, decision-making practice has identified a potential distinct market from hospital cleaning, due to the specific requirements of this sector, particularly in terms of hygiene, staff qualifications, and necessary equipment.</w:t>
      </w:r>
    </w:p>
    <w:p>
      <w:r>
        <w:t>13. National decision-making practice considers that industrial cleaning markets are at most of national dimension and more likely of local dimension. The department has previously been selected to conduct local analyses, with the exception of the Île-de-France region, which has been examined as a specific relevant geographic market.</w:t>
      </w:r>
    </w:p>
    <w:p>
      <w:r>
        <w:t>14. In the case at hand, the question of the delineation of industrial cleaning markets may be left open insofar as the conclusions of the competitive analysis remain unchanged.</w:t>
      </w:r>
    </w:p>
    <w:p>
      <w:r>
        <w:t>C. MARKETS FOR TECHNICAL AND ADMINISTRATIVE MANAGEMENT OF REAL ESTATE COMPLEXES</w:t>
      </w:r>
    </w:p>
    <w:p>
      <w:r>
        <w:t>15. The technical and administrative management of real estate complexes involves "the management and execution of various services for occupants (referred to as "soft services" in English) and for the buildings (referred to as "hard services" in English) of a business site." Decision-making practice at both the community and national levels has considered that this activity could constitute a relevant market. Segmentations of the activity of technical and administrative management of real estate complexes according to the type of services offered and according to the client's sector of activity have also been considered.</w:t>
      </w:r>
    </w:p>
    <w:p>
      <w:r>
        <w:t>16. Decision-making practice has considered, while leaving the question open, that the market for technical and administrative management of real estate complexes could have a national dimension.</w:t>
      </w:r>
    </w:p>
    <w:p>
      <w:r>
        <w:t>17. However, in the case at hand, the question of the precise delineation of the markets for technical and administrative management of real estate complexes may be left open, as regardless of the hypothesis retained, the conclusions of the competitive analysis will remain unchanged.</w:t>
      </w:r>
    </w:p>
    <w:p>
      <w:r>
        <w:t>9 Id.</w:t>
      </w:r>
    </w:p>
    <w:p>
      <w:r>
        <w:t>10 See decision 10-DCC-76 cited above.</w:t>
      </w:r>
    </w:p>
    <w:p>
      <w:r>
        <w:t>11 See the letter from the Minister of Economy, Employment and Finance C2007-130 dated September 25, 2007, to the boards of the investment company Apax Partners SA regarding a concentration in the sector of integrated management of general services and the decisions of the Competition Authority 09-DCC-19 dated July 20, 2009, regarding the exclusive control of Icade Eurogem by La Financière Groupe TFN, 09-DCC-33 and 10-DCC-76 cited above.</w:t>
      </w:r>
    </w:p>
    <w:p>
      <w:r>
        <w:t>12 See the decisions of the Competition Authority 09-DCC-19, 09-DCC-33, and 10-DCC-76 cited above.</w:t>
      </w:r>
    </w:p>
    <w:p>
      <w:r>
        <w:t>III. Competitive Analysis</w:t>
      </w:r>
    </w:p>
    <w:p>
      <w:r>
        <w:t>A. HORIZONTAL EFFECTS</w:t>
      </w:r>
    </w:p>
    <w:p>
      <w:r>
        <w:t>18. The parties provided their market shares and those of their competitors for the year 2010 in the French collective catering market:</w:t>
      </w:r>
    </w:p>
    <w:p>
      <w:r>
        <w:t>Value 2010 Millions of euros Market share</w:t>
        <w:br/>
        <w:t>Elior […] [20-30] %</w:t>
        <w:br/>
        <w:t>Ansamble […] [0-5] %</w:t>
        <w:br/>
        <w:t>New entity […] [20-30] %</w:t>
        <w:br/>
        <w:t>Sodexo13 […] [30-40] %</w:t>
        <w:br/>
        <w:t>Compass14 […] [10-20] %</w:t>
        <w:br/>
        <w:t>API-RDR […] [0-5] %</w:t>
        <w:br/>
        <w:t>Dupont Restauration SA […] [0-5] %</w:t>
        <w:br/>
        <w:t>Restalliance […] [0-5] %</w:t>
        <w:br/>
        <w:t>Convivio […] [0-5] %</w:t>
        <w:br/>
        <w:t>R2C Casino […] [0-5] %</w:t>
        <w:br/>
        <w:t>Multi Restauration Service […] [0-5] %</w:t>
        <w:br/>
        <w:t>Apetito […] [0-5] %</w:t>
        <w:br/>
        <w:t>Total 6 110</w:t>
      </w:r>
    </w:p>
    <w:p>
      <w:r>
        <w:t>19. According to the parties' estimates, at the national level, the Elior group and Ansamble represent respectively [20-30] % and [0-5] % of the market, resulting in a combined market share of [20-30] %. The strengthening of Elior's position due to the operation remains moderate. Furthermore, the new entity will face competition from two national players who are also the two main operators in the global collective catering market, Sodexo, the leader in the French collective catering market with a market share of [30-40] %, and Compass, which holds a market share of [10-20] %. Numerous small players with a more regional presence are also present in the collective catering market.</w:t>
      </w:r>
    </w:p>
    <w:p>
      <w:r>
        <w:t>13 Including Sogeres and Score.</w:t>
      </w:r>
    </w:p>
    <w:p>
      <w:r>
        <w:t>14 Including Caterine Restauration.</w:t>
      </w:r>
    </w:p>
    <w:p>
      <w:r>
        <w:t>20. In a study on collective catering in France published in 2011, the research institute GIRA Foodservice indicates that the collective catering market remains concentrated with 3 leading operators who together account for more than [70-80] % of the market but highlights the dynamism of small operators who "have developed segmenting offers (emphasizing either a strong regional identity or specific expertise in a profession such as in the social sector)." Some of these small operators, such as R2C Casino, created in 2001 by the Casino group, Coralys, based in the Rhône-Alpes region, or Provence Plats, active in Provence, have indeed seen their revenue grow significantly in recent years.</w:t>
      </w:r>
    </w:p>
    <w:p>
      <w:r>
        <w:t>21. However, the target is not among the most dynamic regional players, and it emerges from the data collected in the context of the market test that the operation does not lead to the elimination of a player that strongly drives competition. Thus, Ansamble has been established in the market for over 30 years and has not been the source of any particular upheaval likely to increase competitive pressure in the market. Ansamble's growth is of the same order as that of the overall market (approximately [5-10] % growth between 2008 and 2010).</w:t>
      </w:r>
    </w:p>
    <w:p>
      <w:r>
        <w:t>22. Given the above elements, the operation is not likely to harm competition through horizontal effects in this market.</w:t>
      </w:r>
    </w:p>
    <w:p>
      <w:r>
        <w:t>B. COORDINATED EFFECTS</w:t>
      </w:r>
    </w:p>
    <w:p>
      <w:r>
        <w:t>23. Given the oligopolistic nature of the collective catering market dominated by three main players, Sodexo, Elior, and Compass, it is necessary to examine whether the operation is likely to facilitate coordination of the behaviors of these companies.</w:t>
      </w:r>
    </w:p>
    <w:p>
      <w:r>
        <w:t>24. National and community competition authorities have identified four necessary conditions for assessing coordinated effects in a concentration operation: understanding, detection, deterrence, and non-contestation. In its ruling in Impala15, the Court of Justice of the European Communities further specified that, in applying these criteria, a mechanical approach of separately verifying each of the said criteria in isolation, while ignoring the overall economic mechanism of a hypothetical tacit coordination, should be avoided.</w:t>
      </w:r>
    </w:p>
    <w:p>
      <w:r>
        <w:t>25. However, the French collective catering market does not exhibit the characteristics of a market where coordinated effects are likely to occur, as previously noted by the Minister of Economy in earlier decisions. In particular, any attempt to coordinate their behaviors by the three market leaders would be contested by both current and potential competitors as well as by the clients themselves.</w:t>
      </w:r>
    </w:p>
    <w:p>
      <w:r>
        <w:t>26. Firstly, any attempt at coordination would be disrupted by the numerous small operators present in the market. The survey indicates that these small operators, who sometimes have a significant local presence, offer clients greater flexibility, more proximity, and a higher degree of customization of offers. They thus constitute real alternatives to the three main operators. Market players, both clients and competitors, indicate that small and medium-sized players have developed in recent years at the expense of the positions of the main players.</w:t>
      </w:r>
    </w:p>
    <w:p>
      <w:r>
        <w:rPr>
          <w:b/>
        </w:rPr>
        <w:t>[Pages 7–8]</w:t>
      </w:r>
    </w:p>
    <w:p>
      <w:r>
        <w:t>estimate that the offerings of small local players in collective catering exert competitive pressure on those of larger operators, even though this is somewhat more limited in the case of clients with very high demand in terms of the number of meals served per day.</w:t>
      </w:r>
    </w:p>
    <w:p>
      <w:r>
        <w:t>27. Secondly, the barriers to entry in the collective catering market are considered by market players to be low. In particular, regarding clients that have the necessary infrastructure for meal preparation on-site, this activity does not require any specific production capacities. A number of local companies have thus entered the collective catering market. For example, the company Casino Cafétéria created R2C Casino in 2001, which is a rapidly developing player in collective catering. Similarly, the company Coralys entered the market in 2000 and has developed its business volume at a very sustained pace since its inception.</w:t>
      </w:r>
    </w:p>
    <w:p>
      <w:r>
        <w:t>28. Thirdly, the clients themselves have bargaining power over collective catering operators that allows them to effectively challenge any potential coordination. Market players indicate that the costs and time required to change operators are moderate. The competitors of the parties indicate that they are able to quickly increase their offerings, if necessary, to serve additional demand.</w:t>
      </w:r>
    </w:p>
    <w:p>
      <w:r>
        <w:t>29. Furthermore, market growth is driven by a phenomenon of outsourcing by clients of collective catering activities. Clients choose to engage a collective catering company when the quality/price ratio offered by this company is better than that obtained internally. However, as confirmed by clients and competitors, this outsourcing choice is not irreversible. The majority of clients indicate that if the prices charged by collective catering operators were to increase or the quality of their service were to decrease, clients who previously outsourced their collective catering services could easily and quickly internalize these services.</w:t>
      </w:r>
    </w:p>
    <w:p>
      <w:r>
        <w:t>30. The criterion of non-contestation is therefore not met, and without the need to analyze the other criteria, it should be noted that an attempt at collusion among the three main operators in collective catering would be challenged by both clients and competitors.</w:t>
      </w:r>
    </w:p>
    <w:p>
      <w:r>
        <w:t>31. It follows from the above that the operation cannot be regarded as having the effect of creating or strengthening a risk of coordinated behavior in the collective catering market.</w:t>
      </w:r>
    </w:p>
    <w:p>
      <w:r>
        <w:t>C. CONGLOMERATE EFFECTS</w:t>
      </w:r>
    </w:p>
    <w:p>
      <w:r>
        <w:t>32. The Elior group, offering both collective catering services and industrial cleaning and technical and administrative management services for real estate complexes, must be assessed to determine whether the operation does not harm competition by allowing the Elior group to bundle collective catering offers with these other services.</w:t>
      </w:r>
    </w:p>
    <w:p>
      <w:r>
        <w:t>33. The market test reveals that both competitors and clients of the parties consider that certain clients are likely to be interested in bundled offers between, on the one hand, collective catering services and, on the other hand, related services such as industrial cleaning services.</w:t>
      </w:r>
    </w:p>
    <w:p>
      <w:r>
        <w:t>34. Nevertheless, it is unlikely that a concentration would have conglomerate effects when the new entity holds less than 30% market share in each of the relevant markets. In this case, Elior only moderately strengthens its position in the collective catering market and will hold a market share of less than 30%. Furthermore, Elior will continue to face competition from the Sodexo group and the Compass group.</w:t>
      </w:r>
    </w:p>
    <w:p>
      <w:r>
        <w:t>35. In the markets for industrial cleaning services and technical and administrative management of real estate complexes, the parties indicate that the new entity will hold moderate market shares. Thus, according to the parties, in the market for technical and administrative management of real estate complexes, Elior represents less than [0-5]% of the market. In the general industrial cleaning market, in the segment of "classic" industrial cleaning and in the segment of "technical/specific" industrial cleaning, Elior represents less than [5-10]%, less than [0-5]%, and less than [10-20]% of the market at both the national and local levels. In the hospital sub-segment, Elior holds a market share of less than [10-20]% at the national level and less than [20-30]% at the regional level.</w:t>
      </w:r>
    </w:p>
    <w:p>
      <w:r>
        <w:t>36. Moreover, as the Competition Authority has already noted, "bundled offers to healthcare establishments remain, at present, marginal, if not virtually non-existent in the public health sector." Furthermore, Sodexo, a leader in the collective catering market, also provides industrial cleaning services, particularly to healthcare establishments, and is able to offer bundled offers. Therefore, the Elior group's offering would not be unique or indispensable in these markets.</w:t>
      </w:r>
    </w:p>
    <w:p>
      <w:r>
        <w:t>37. Given the above elements, the operation is not likely to harm competition through conglomerate effects between the collective catering market and the industrial cleaning market or the technical and administrative management of real estate complexes.</w:t>
      </w:r>
    </w:p>
    <w:p>
      <w:r>
        <w:t>DECIDES</w:t>
      </w:r>
    </w:p>
    <w:p>
      <w:r>
        <w:t>Sole Article: The operation notified under number 12-047 is authorized.</w:t>
      </w:r>
    </w:p>
    <w:p>
      <w:r>
        <w:t>The Vice-President,</w:t>
        <w:br/>
        <w:t>Françoise Aubert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