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https://www.autoritedelaconcurrence.fr/fr/decision-de-controle-des-concentrations/relative-lacquisition-de-la-societe-alberdis-par-la-societe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11-DCC-46 of March 18, 2011  </w:t>
        <w:br/>
        <w:t xml:space="preserve">regarding the acquisition of the company Alberdis by the company Frala  </w:t>
        <w:br/>
        <w:t>The Competition Authority,</w:t>
      </w:r>
    </w:p>
    <w:p>
      <w:r>
        <w:t>Having regard to the complete notification file submitted to the mergers department on February 24, 2011, concerning the acquisition of the company Alberdis by the company Frala, formalized by a conditional sale agreement signed on December 21, 2010;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>Having regard to the additional elements provided by the parties during the investigation;</w:t>
      </w:r>
    </w:p>
    <w:p>
      <w:r>
        <w:t xml:space="preserve">Adopts the following decision:  </w:t>
        <w:br/>
        <w:t xml:space="preserve">1. The notified operation consists of the acquisition of control of the company Alberdis, which operates a hypermarket under the Intermarché brand in Albert (80), by the company Frala, jointly with the company ITM Entreprises, and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11-0033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