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https://www.autoritedelaconcurrence.fr/fr/decision-de-controle-des-concentrations/relative-lacquisition-de-la-societe-asrev-par-la-societe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11-DCC-95 of June 17, 2011  </w:t>
        <w:br/>
        <w:t>regarding the acquisition of the company Asrev by the company Système U Centrale Régionale Ouest</w:t>
      </w:r>
    </w:p>
    <w:p>
      <w:r>
        <w:t>The Competition Authority,</w:t>
      </w:r>
    </w:p>
    <w:p>
      <w:r>
        <w:t xml:space="preserve">Having regard to the complete notification file submitted to the mergers department on May 27, 2011, concerning the acquisition of the company Asrev by the company Système U Centrale Régionale Ouest;  </w:t>
        <w:br/>
        <w:t>Having regard to Book IV of the Commercial Code relating to the freedom of prices and competition, and in particular its Articles L. 430-1 to L. 430-7;</w:t>
      </w:r>
    </w:p>
    <w:p>
      <w:r>
        <w:t>Adopts the following decision:</w:t>
      </w:r>
    </w:p>
    <w:p>
      <w:r>
        <w:t>1. The notified operation consists of the exclusive control acquisition of the company Asrev, operating a hypermarket under the Hyper U brand in the city of Chateaugiron (35), by the company Système U Centrale Régionale Ouest and constitutes a concentration operation within the meaning of Article L. 430-1 of the Commercial Code. Given the turnover achieved by the companies concerned, the operation does not have a community dimension. On the other hand, the control thresholds related to retail trade mentioned in point II of Article L. 430-2 of the Commercial Code are exceeded. This operation is therefore subject to the provisions of Articles L. 430-3 and following of the Commercial Code relating to economic concentration.</w:t>
      </w:r>
    </w:p>
    <w:p>
      <w:r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11-0101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