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https://www.autoritedelaconcurrence.fr/fr/decision-de-controle-des-concentrations/relative-lacquisition-de-la-societe-avenir-par-la-societe</w:t>
      </w:r>
    </w:p>
    <w:p>
      <w:r>
        <w:t>Pages translated : 2</w:t>
      </w:r>
    </w:p>
    <w:p/>
    <w:p>
      <w:r>
        <w:rPr>
          <w:b/>
        </w:rPr>
        <w:t>[Pages 1–2]</w:t>
      </w:r>
    </w:p>
    <w:p>
      <w:r>
        <w:t xml:space="preserve">FRENCH REPUBLIC  </w:t>
        <w:br/>
        <w:t xml:space="preserve">Decision No. 11-DCC-48 of March 24, 2011  </w:t>
        <w:br/>
        <w:t xml:space="preserve">regarding the acquisition of the company Avenir by the company ITM Alimentaire Région Parisienne  </w:t>
        <w:br/>
        <w:t xml:space="preserve">The Competition Authority,  </w:t>
        <w:br/>
        <w:t xml:space="preserve">Having regard to the complete notification file submitted to the mergers department on March 14, 2011, concerning the acquisition of the company Avenir by the company ITM Alimentaire Région Parisienne, formalized by a conditional sale agreement signed on October 7, 2010;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of control over the company Avenir, which operates a supermarket under the Intermarché brand in La Chapelle Saint Mesmin (45), by ITM Alimentaire Région Parisienne, a subsidiary of ITM Entreprises, and constitutes a concentration operation within the meaning of Article L. 430-1 of the Commercial Code. Given the turnover achieved by the companies concerned, the operation does not have a community dimension. However,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11-0048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