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https://www.autoritedelaconcurrence.fr/fr/decision-de-controle-des-concentrations/relative-lacquisition-de-la-societe-becquet-sas-par-la</w:t>
      </w:r>
    </w:p>
    <w:p>
      <w:r>
        <w:t>Pages translated : 6</w:t>
      </w:r>
    </w:p>
    <w:p/>
    <w:p>
      <w:r>
        <w:rPr>
          <w:b/>
        </w:rPr>
        <w:t>[Pages 1–3]</w:t>
      </w:r>
    </w:p>
    <w:p>
      <w:r>
        <w:t xml:space="preserve">FRENCH REPUBLIC  </w:t>
        <w:br/>
        <w:t xml:space="preserve">Decision No. 16-DCC-75 of May 23, 2016  </w:t>
        <w:br/>
        <w:t xml:space="preserve">regarding the acquisition of the company Becquet SAS by the company  </w:t>
        <w:br/>
        <w:t xml:space="preserve">Domoti SAS  </w:t>
        <w:br/>
        <w:t xml:space="preserve">The Competition Authority,  </w:t>
        <w:br/>
        <w:t xml:space="preserve">Having regard to the notification file submitted in full to the merger service on April 15, 2016,  </w:t>
        <w:br/>
        <w:t xml:space="preserve">regarding the acquisition of the company Becquet SAS by the company Domoti SAS, formalized by  </w:t>
        <w:br/>
        <w:t xml:space="preserve">a letter of offer and a draft share transfer agreement dated January 28, 2016;  </w:t>
        <w:br/>
        <w:t xml:space="preserve">Having regard to Book IV of the Commercial Code relating to price freedom and competition, and  </w:t>
        <w:br/>
        <w:t xml:space="preserve">notably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Domoti is a simplified joint-stock company active in the distance selling sector through  </w:t>
        <w:br/>
        <w:t xml:space="preserve">four specialized catalogs: "Confort et Vie" (primarily aimed at seniors), "ID Homme" (gift ideas for men), "L’Atelier de Lucie" (embroidery, cross-stitch, canvas, and knitting) as well as "Temps L" (household items). Domoti is  </w:t>
        <w:br/>
        <w:t xml:space="preserve">owned and controlled by its three founding partners Ms. Tiberghien, Willot, and Flipo. It  </w:t>
        <w:br/>
        <w:t xml:space="preserve">offers through its catalogs and websites products referred to as "comfort" for seniors,  </w:t>
        <w:br/>
        <w:t xml:space="preserve">kitchen utensils, household maintenance products, decoration items, and household linen (13% of its turnover).  </w:t>
        <w:br/>
        <w:t xml:space="preserve">2. Becquet is a single-member simplified joint-stock company active in the distance selling sector via specialized catalogs and websites, primarily of household linen (86% of its turnover).  </w:t>
        <w:br/>
        <w:t>3. The operation consists of the acquisition of all shares of Becquet by Domoti. As it results in the exclusive control of Becquet by Domoti, the operation constitutes a concentration within the meaning of Article L. 430-1 of the Commercial Code.</w:t>
      </w:r>
    </w:p>
    <w:p>
      <w:r>
        <w:t xml:space="preserve">4. The companies concerned have together achieved a consolidated worldwide turnover excluding taxes of more than 150 million euros (Domoti: 77.3 million euros for the fiscal year ending June 30, 2015; Becquet: 82.2 million euros for the fiscal year ending December 31, 2014). Each of these companies has achieved a turnover in France exceeding 50 million euros (Domoti: 68.3 million euros for the fiscal year ending June 30, 2015; Becquet: 81.1 million euros for the fiscal year ending December 31, 2014). Given these turnovers,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the relevant markets  </w:t>
        <w:br/>
        <w:t xml:space="preserve">5. The operation entails an overlap in the non-food retail distribution sector.  </w:t>
        <w:br/>
        <w:t xml:space="preserve">A. THE DOWNSTREAM MARKETS FOR NON-FOOD PRODUCT DISTRIBUTION  </w:t>
        <w:br/>
        <w:t xml:space="preserve">1. THE PRODUCT MARKETS  </w:t>
        <w:br/>
        <w:t xml:space="preserve">6. Both national and European decision-making practices distinguish, on the one hand, food retail trade, and on the other hand, non-food retail trade. In this case, the parties to the operation are only present in the sector of distance selling of non-food products.  </w:t>
        <w:br/>
        <w:t xml:space="preserve">a) Segmentation by product family  </w:t>
        <w:br/>
        <w:t xml:space="preserve">7. Regarding the distribution of non-food products, both national and European competition authorities traditionally distinguish as many markets as there are product families and have thus identified sixteen product families: women's clothing, men's clothing, children's clothing, underwear, shoes, leather goods, sports textiles, sports shoes, electronics, large electrical appliances, small electrical appliances, decoration and gardening products, household linen, lighting, toys, and furniture. The community authority specifies that within each of the markets thus defined, competition varies significantly due to the degree of specialization of a significant number of players in one or more families.  </w:t>
        <w:br/>
        <w:t xml:space="preserve">1 See the decisions of the Competition Authority No. 15-DCC-101 of July 30, 2015, regarding the exclusive control of GrosBill SA by mutares AG, No. 14-DCC-28 of March 5, 2014, regarding the exclusive control of the company Mistergooddeal SA by the Darty group, No. 10-DCC-42 of May 25, 2010, regarding the acquisition by the company 3 Suisses International SA of certain assets of the company La Source, No. 10-DCC-77 of July 9, 2010, regarding the control of the company Afibel SAS by the company Damartex SA, as well as the decisions of the European Commission No. COMP/M.070 – Otto/Gratta of March 21, 1991, No. COMP/M.080 – La Redoute/Empire of April 25, 1991, and No. COMP/M.5721 – Otto/Primondo Assets of February 16, 2010.  </w:t>
        <w:br/>
        <w:t>2 See the aforementioned decisions and notably decision No. COMP/M.5721 Otto/Primondo Assets.</w:t>
      </w:r>
    </w:p>
    <w:p>
      <w:r>
        <w:t xml:space="preserve">8. In the present case, the parties to the operation are simultaneously active primarily in the category of household linen and, to a lesser extent, in those of decorative products, lighting, and furniture.  </w:t>
        <w:br/>
        <w:t xml:space="preserve">b) Segmentation by distribution channel  </w:t>
        <w:br/>
        <w:t xml:space="preserve">9. Competition authorities have repeatedly questioned the relevance of a segmentation in the non-food retail sector between distance selling ("VAD") on the one hand and in-store sales on the other hand, with VAD including all distribution channels specific to this mode of marketing (internet, catalogs, and others).  </w:t>
        <w:br/>
        <w:t xml:space="preserve">10. The Competition Authority noted, in its opinion on the competitive functioning of electronic commerce, that traditional brands adapt their commercial strategies to take into account the growth of internet sales by adopting a "multi-channel" distribution model that combines a network of stores and an online sales site. In this context, they either create their own website on which they offer, in addition to the products offered in-store, certain specific products at specific prices (these are referred to as "click &amp; mortar" retailers), or they create pure player sites.  </w:t>
        <w:br/>
        <w:t xml:space="preserve">11. However, competition authorities, both national and European, have so far noted significant differences between distance selling and in-store sales, particularly in the way VAD and "physical" sales distributors communicate and acquire customers. They have noted that, from the consumer's perspective, purchasing in-store offers the possibility to inspect the desired product and, if necessary, to benefit from the advice of a specialized seller. Moreover, the items displayed are, most of the time, available immediately. Conversely, VAD has the advantage of allowing purchases at any time of the day and week, from one's place of residence. The Commission has noted that each distribution channel presents various advantages and disadvantages and meets different consumer needs. To date, the Commission considers that these two channels are more complementary than substitutable.  </w:t>
        <w:br/>
        <w:t xml:space="preserve">12. In this case, the parties to the operation do not own any stores and are only active in the distance selling segment via websites and catalogs. The analysis will therefore be conducted on the markets for the distance selling of non-food goods segmented by product families (household linen, decoration products, lighting, and furniture), distinct from those of in-store sales. However, account will be taken of the competitive pressure that in-store sales may exert on distance selling. The question of the exact delimitation of the markets will, however, be left open, with the conclusions of the competitive analysis remaining unchanged regardless of the delimitations retained.  </w:t>
        <w:br/>
        <w:t xml:space="preserve">3 See for example the decisions of the Competition Authority No. 09-DCC-26 of July 24, 2009, regarding the acquisition of the company Camif Collectivités by the company Manutan International, No. 15-DCC-101 of July 30, 2015, and No. 14-DCC-28 of March 5, 2014, mentioned above.  </w:t>
        <w:br/>
        <w:t xml:space="preserve">4 See the Opinion of the Competition Authority on the competitive functioning of electronic commerce No. 12-A-20 of September 18, 2012.  </w:t>
        <w:br/>
        <w:t xml:space="preserve">5 See for example decisions No. 10-DCC-42 of May 25, 2010, regarding the acquisition by the company 3 Suisses International SA of certain assets of the company La Source and No. 11-DCC-87 of June 10, 2011, mentioned above, as well as decision COMP/M.5721 of February 16, 2010, mentioned above.  </w:t>
        <w:br/>
        <w:t>6 COMP/M.5721, Otto / Primondo Assets, February 16, 2010, mentioned above.</w:t>
      </w:r>
    </w:p>
    <w:p>
      <w:r>
        <w:rPr>
          <w:b/>
        </w:rPr>
        <w:t>[Pages 4–6]</w:t>
      </w:r>
    </w:p>
    <w:p>
      <w:r>
        <w:t xml:space="preserve">2. THE GEOGRAPHIC MARKETS  </w:t>
        <w:br/>
        <w:t xml:space="preserve">13. Regarding the remote distribution of non-food products, national and community authorities have previously determined a national delineation in past decisions7, considering linguistic differences, the heterogeneity of consumer habits, as well as delivery costs and times.  </w:t>
        <w:br/>
        <w:t xml:space="preserve">14. In this case, the analysis will be conducted on the French markets for the remote sale of non-food goods and according to the product categories concerned, namely household linen, decoration products, lighting, and furniture.  </w:t>
        <w:br/>
        <w:t xml:space="preserve">B. THE UPSTREAM SUPPLY MARKETS  </w:t>
        <w:br/>
        <w:t xml:space="preserve">1. THE PRODUCT MARKETS  </w:t>
        <w:br/>
        <w:t xml:space="preserve">15. The parties to the operation purchase from various producers the items they subsequently market to individuals.  </w:t>
        <w:br/>
        <w:t xml:space="preserve">16. In the retail sector, national decision-making practice considers that, insofar as producers cannot easily convert to the manufacture of other products than their own, it is appropriate to distinguish as many markets as there are families of products. In this case, the different items marketed by the parties belong to the families of products of household linen, decoration products, lighting, and furniture.  </w:t>
        <w:br/>
        <w:t xml:space="preserve">2. THE GEOGRAPHIC MARKETS  </w:t>
        <w:br/>
        <w:t xml:space="preserve">17. According to decision-making practice, the various markets for the supply of non-food products are of national dimension8. Specifically regarding the markets for the supply of clothing and shoes, the markets have been defined by the French authorities as being of global dimension9.  </w:t>
        <w:br/>
        <w:t xml:space="preserve">18. In this case, concerning the upstream supply markets, the analysis will be conducted at the national level and, furthermore, at the global level, for each of the concerned product families. In any event, the question of the exact delineation of the supply markets may remain open, with the conclusions of the competitive analysis remaining unchanged regardless of the delineations retained.  </w:t>
        <w:br/>
        <w:t xml:space="preserve">7 See decisions n°09-DCC-26 and n°COMP/M.5721 cited above.  </w:t>
        <w:br/>
        <w:t xml:space="preserve">8 See in particular decision n° 09-DCC-26 cited above.  </w:t>
        <w:br/>
        <w:t>9 See in particular letters from the Minister of Economy n° C2008-004 of February 13, 2008, and n° C2008-016 of April 30, 2008, as well as the decision of the Competition Authority n°10-DCC-42 of May 25, 2010 cited above.</w:t>
      </w:r>
    </w:p>
    <w:p>
      <w:r>
        <w:t xml:space="preserve">III. Competitive Analysis  </w:t>
        <w:br/>
        <w:t xml:space="preserve">19. The effects of the operation will be examined on the upstream supply markets as well as on the various downstream markets for the remote sale of the concerned product categories, namely: household linen primarily (this activity representing more than 80% of the target's activity) and, to a lesser extent, decoration products, lighting, and furniture. Domoti also offers for remote sale many products belonging to other product categories on which the risks of harming competition can be ruled out given its very low market shares and the absence of overlap in activity between the parties to the operation.  </w:t>
        <w:br/>
        <w:t xml:space="preserve">A. THE DOWNSTREAM MARKETS FOR THE REMOTE SALE OF NON-FOOD PRODUCTS  </w:t>
        <w:br/>
        <w:t xml:space="preserve">1. HOUSEHOLD LINEN  </w:t>
        <w:br/>
        <w:t xml:space="preserve">20. Regarding the retail sale of household linen, according to estimates provided by the parties for the year 2015, the market shares of Becquet and Domoti are respectively 3% and less than 1%. The new entity will therefore have an estimated position on this market of less than 4% and will still face competition from distribution groups such as Carrefour (8.2%), Auchan (7.3%), Leclerc (4.8%), and Ikea (4.7%) as well as from the distance selling operator La Redoute (5.6%).  </w:t>
        <w:br/>
        <w:t xml:space="preserve">21. In the sole segment of the remote sale of household linen, the parties to the operation estimated their market shares in 2015 at 13.4% and less than 1% for Becquet and Domoti respectively. The new entity will therefore have an estimated market share of less than 15%. It will still face competition from groups such as La Redoute (24.1%), Françoise Saget / Linvosges (23.3%), Trois Suisses (15.1%), and Blancheporte10 (5.2%).  </w:t>
        <w:br/>
        <w:t xml:space="preserve">22. Consequently, this operation is not likely to harm competition in the French market for the remote sale of household linen.  </w:t>
        <w:br/>
        <w:t xml:space="preserve">2. OTHER PRODUCT FAMILIES  </w:t>
        <w:br/>
        <w:t xml:space="preserve">23. The market shares, both individual and cumulative, of the parties to the operation and the new entity, regarding the families of decoration products, lighting, and furniture, will remain below 5% regardless of the segmentation retained.  </w:t>
        <w:br/>
        <w:t xml:space="preserve">24. Consequently, the operation is not likely to harm competition in the French markets for the remote sale of decoration products, lighting, and furniture.  </w:t>
        <w:br/>
        <w:t>10 This company is currently in the process of being sold.</w:t>
      </w:r>
    </w:p>
    <w:p>
      <w:r>
        <w:t xml:space="preserve">B. THE UPSTREAM SUPPLY MARKETS  </w:t>
        <w:br/>
        <w:t xml:space="preserve">25. For each of the concerned product families (household linen, decoration products, lighting, and furniture), the vast majority of the suppliers of the parties are actors located in India or in other Asian countries. In these global markets, the parties represent a negligible share of the total supplies.  </w:t>
        <w:br/>
        <w:t xml:space="preserve">26. At the national level, the parties represent, for each of the concerned product families, less than 5% of the total supplies in France.  </w:t>
        <w:br/>
        <w:t xml:space="preserve">27. Consequently, the operation is not likely to harm competition in the upstream supply markets, segmented by product family.  </w:t>
        <w:br/>
        <w:t xml:space="preserve">DECIDES  </w:t>
        <w:br/>
        <w:t xml:space="preserve">Single Article: The operation notified under number 16-045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