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https://www.autoritedelaconcurrence.fr/fr/decision-de-controle-des-concentrations/relative-lacquisition-de-la-societe-brandlen-finance-sa-par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11-DCC-71 of May 10, 2011  </w:t>
        <w:br/>
        <w:t xml:space="preserve">regarding the acquisition of Brandlen Finance SA by  </w:t>
        <w:br/>
        <w:t xml:space="preserve">Triton Managers III and TFF III companies  </w:t>
        <w:br/>
        <w:t xml:space="preserve">The Competition Authority,  </w:t>
        <w:br/>
        <w:t xml:space="preserve">Having regard to the complete notification file submitted to the mergers department on April 14, 2011,  </w:t>
        <w:br/>
        <w:t xml:space="preserve">concerning the acquisition of Brandlen Finance SA by Triton Managers III  </w:t>
        <w:br/>
        <w:t xml:space="preserve">and TFF III Ltd.;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Brandlen SA, active  </w:t>
        <w:br/>
        <w:t xml:space="preserve">through its subsidiaries in the construction and mining sector, by the investment funds Triton Managers III and TFF III Ltd., both  </w:t>
        <w:br/>
        <w:t xml:space="preserve">controlled by Triton Partners (HoldCo) Limited and TFF III Limited Charitable  </w:t>
        <w:br/>
        <w:t xml:space="preserve">Trust, and constitutes a concentration operation within the meaning of Article L. 430-1 of the Commercial Code. Given the turnover achieved by the concerned companies,  </w:t>
        <w:br/>
        <w:t xml:space="preserve">the operation does not have a community dimension. On the other hand, the control thresholds  </w:t>
        <w:br/>
        <w:t xml:space="preserve">related to concentration operations mentioned in point 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11-0072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