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https://www.autoritedelaconcurrence.fr/fr/decision-de-controle-des-concentrations/relative-lacquisition-de-la-societe-camence-par-amidis-et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12-DCC-149 of October 18, 2012  </w:t>
        <w:br/>
        <w:t xml:space="preserve">regarding the acquisition of the company Camence  </w:t>
        <w:br/>
        <w:t xml:space="preserve">by Amidis et Cie (Carrefour Group)  </w:t>
        <w:br/>
        <w:t xml:space="preserve">The Competition Authority,  </w:t>
        <w:br/>
        <w:t xml:space="preserve">Having regard to the complete notification file submitted to the mergers department on  </w:t>
        <w:br/>
        <w:t xml:space="preserve">September 20, 2012, concerning the acquisition of the company Camence by the company Amidis et Cie  </w:t>
        <w:br/>
        <w:t xml:space="preserve">(Carrefour Group);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of the company Camence, which  </w:t>
        <w:br/>
        <w:t xml:space="preserve">operates a food distribution business under the Carrefour Market brand with a surface area of 3,500 m² in Distre (49), by the operating company Amidis et Cie, a wholly-owned subsidiary of the Carrefour Group, and constitutes a concentration operation within the meaning of Article L. 430-1 of the Commercial Code. Given the turnover achieved by the companies involved, the operation does not have a community dimension. However, the control thresholds related to retail trade mentioned in point II of Article L. 430-2 of the Commercial Code are exceeded. This operation is therefore subject to the provisions of Articles 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12-153 is authorized.  </w:t>
        <w:br/>
        <w:t xml:space="preserve">The President,  </w:t>
        <w:br/>
        <w:t xml:space="preserve">Bruno Lasserre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