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https://www.autoritedelaconcurrence.fr/fr/decision-de-controle-des-concentrations/relative-lacquisition-de-la-societe-canta-par-la-societe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11-DCC-210 of December 20, 2011  </w:t>
        <w:br/>
        <w:t xml:space="preserve">regarding the acquisition of the company Canta by the company ITM Alimentaire Sud Est  </w:t>
        <w:br/>
        <w:t xml:space="preserve">The Competition Authority,  </w:t>
        <w:br/>
        <w:t xml:space="preserve">Having regard to the complete notification file submitted to the mergers department on November 30, 2011, concerning the acquisition of the company Canta by ITM Alimentaire Sud Est, formalized by a transfer protocol dated June 23, 2009;  </w:t>
        <w:br/>
        <w:t xml:space="preserve">Having regard to Book IV of the Commercial Code relating to the freedom of prices and competition, and notably its Articles L. 430-1 to L. 430-7;  </w:t>
        <w:br/>
        <w:t xml:space="preserve">Adopts the following decision:  </w:t>
        <w:br/>
        <w:t xml:space="preserve">1. The notified operation consists of the exclusive control acquisition by the company ITM Alimentaire Sud Est, of the company Canta which operates in Cantaron (06) a retail outlet predominantly food-oriented under the Intermarché brand with an area of 1,829 m².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11-0234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