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https://www.autoritedelaconcurrence.fr/fr/decision-de-controle-des-concentrations/relative-lacquisition-de-la-societe-carlier-automobiles-par</w:t>
      </w:r>
    </w:p>
    <w:p>
      <w:r>
        <w:t>Pages translated : 2</w:t>
      </w:r>
    </w:p>
    <w:p/>
    <w:p>
      <w:r>
        <w:rPr>
          <w:b/>
        </w:rPr>
        <w:t>[Pages 1–2]</w:t>
      </w:r>
    </w:p>
    <w:p>
      <w:r>
        <w:t xml:space="preserve">FRENCH REPUBLIC  </w:t>
        <w:br/>
        <w:t xml:space="preserve">Decision No. 12-DCC-01 of January 9, 2012  </w:t>
        <w:br/>
        <w:t xml:space="preserve">regarding the acquisition of Carlier Automobiles by GGBA  </w:t>
        <w:br/>
        <w:t xml:space="preserve">The Competition Authority,  </w:t>
        <w:br/>
        <w:t xml:space="preserve">Having regard to the notification file sent to the mergers department on December 1, 2011, and declared complete on December 21, 2011, concerning the acquisition of Carlier Automobiles by GGBA, formalized by a letter of intent dated November 9, 2011;  </w:t>
        <w:br/>
        <w:t xml:space="preserve">Having regard to Book IV of the Commercial Code relating to the freedom of prices and competition, and in particular its Articles L. 430-1 to L. 430-7;  </w:t>
        <w:br/>
        <w:t xml:space="preserve">Adopts the following decision:  </w:t>
        <w:br/>
        <w:t xml:space="preserve">1. The notified transaction consists of the exclusive control acquisition of Carlier Automobiles, operating a car dealership under the Volkswagen and Audi brands in the city of Lambres Lez Douai (59), by GGBA, a subsidiary of PGA Motors, which operates car dealerships of several brands distributed across the regions of Nord-Pas-de-Calais, Ile-de-France, Lorraine, and Picardie. It constitutes a concentration operation within the meaning of Article L. 430-1 of the Commercial Code. Given the revenues generated by the companies involved, the operation does not have a community dimension. However, the retail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notified operation under number 11-236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