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https://www.autoritedelaconcurrence.fr/fr/decision-de-controle-des-concentrations/relative-lacquisition-de-la-societe-celsol-par-la-societe</w:t>
      </w:r>
    </w:p>
    <w:p>
      <w:r>
        <w:t>Pages translated : 2</w:t>
      </w:r>
    </w:p>
    <w:p/>
    <w:p>
      <w:r>
        <w:rPr>
          <w:b/>
        </w:rPr>
        <w:t>[Pages 1–2]</w:t>
      </w:r>
    </w:p>
    <w:p>
      <w:r>
        <w:t xml:space="preserve">FRENCH REPUBLIC  </w:t>
        <w:br/>
        <w:t xml:space="preserve">Decision No. 11-DCC-73 of May 19, 2011  </w:t>
        <w:br/>
        <w:t xml:space="preserve">regarding the acquisition of the company Celsol by the company ITM Alimentaire Ouest  </w:t>
        <w:br/>
        <w:t>The Competition Authority,</w:t>
      </w:r>
    </w:p>
    <w:p>
      <w:r>
        <w:t>Having regard to the complete notification file sent to the mergers department on April 20, 2011, concerning the acquisition by the company ITM Alimentaire Ouest of exclusive control of the company Celsol formalized by a share transfer agreement under suspensive conditions dated September 17, 2007, supplemented by an amendment dated June 2, 2010.</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of exclusive control of the company Celsol, operating a supermarket under the Intermarché brand in the city of Plourin Les Morlaix (29), by the company ITM Alimentaire Ouest and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11-0081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