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https://www.autoritedelaconcurrence.fr/fr/decision-de-controle-des-concentrations/relative-lacquisition-de-la-societe-cerba-european-lab-sas</w:t>
      </w:r>
    </w:p>
    <w:p>
      <w:r>
        <w:t>Pages translated : 3</w:t>
      </w:r>
    </w:p>
    <w:p/>
    <w:p>
      <w:r>
        <w:rPr>
          <w:b/>
        </w:rPr>
        <w:t>[Pages 1–3]</w:t>
      </w:r>
    </w:p>
    <w:p>
      <w:r>
        <w:t xml:space="preserve">FRENCH REPUBLIC  </w:t>
        <w:br/>
        <w:t xml:space="preserve">Decision No. 10-DCC-78 of July 19, 2010  </w:t>
        <w:br/>
        <w:t xml:space="preserve">regarding the acquisition of Cerba European Lab SAS  </w:t>
        <w:br/>
        <w:t xml:space="preserve">by PAI Partners SAS  </w:t>
        <w:br/>
        <w:t xml:space="preserve">The Competition Authority,  </w:t>
        <w:br/>
        <w:t xml:space="preserve">Having regard to the notification file sent to the merger service on June 11, 2010, declared complete on July 5, 2010, regarding the acquisition of Cerba European Lab SAS by PAI Partners SAS, formalized by a framework agreement dated June 8, 2010;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A. THE COMPANIES  </w:t>
        <w:br/>
        <w:t xml:space="preserve">1. PAI Partners SAS (hereinafter "PAI"), a simplified joint-stock company, is an investment company owned by its partners, none of whom individually or jointly hold control1. PAI manages three investment funds, PAI Europe III, PAI Europe IV, and PAI Europe V, which hold controlling interests in the capital of companies active in the following sectors: food additives (Chr.Hansen), specialty chemicals for industry (Perstorp), plastic packaging manufacturing (Global Closure Systems), automotive repair centers (Kwik-fit Group), production of hydraulic braking and clutch systems and automotive components (FTE Automotive), specialized engineering services (Spie), real estate promotion (Kaufman &amp; Broad), clothing distribution (Gruppo Coin), borrower insurance (European Provident Company), agri-food (Yoplait and United Biscuits), construction materials (Xella).  </w:t>
        <w:br/>
        <w:t xml:space="preserve">2. More than 150 shareholders from 23 countries have invested in the PAI Europe III, PAI Europe IV, and PAI Europe V funds, including individuals and numerous institutional investors such as pension funds, banks, insurance companies, and fund of funds. None of these investors are able to exert any influence over the decisions made by the decision-making bodies of PAI or the PAI Europe III, PAI Europe IV, and PAI Europe V funds. The investors do not benefit from any representation in these bodies, and the daily management as well as the strategic decisions related to the companies managed in the portfolio are exclusively the responsibility of PAI.  </w:t>
        <w:br/>
        <w:t xml:space="preserve">3. PAI achieved a global turnover of [&gt;150 million] euros in 2009, of which [&gt;50 million] euros in France.  </w:t>
        <w:br/>
        <w:t xml:space="preserve">4. Cerba European Lab SAS (hereinafter "CEL"), a simplified joint-stock company, is the parent company of a group composed of companies engaged in various activities in the medical laboratory sector. Originally, CEL, through its subsidiary Cerba Selafa, was active in specialized medical biology analyses, which are characterized by their complexity, rarity, or the need for specific ministerial approvals. In 2007, the acquisition of the Belgian group BARC allowed CEL to position itself in the sector of so-called "routine" medical biology analyses, in Belgium, and more recently in France through the companies Biolille and Biotop, respectively active in the Nord-Pas-de-Calais and Provence-Alpes-Côte d'Azur regions2. The BARC group, based in Ghent but also present in South Africa, the United States, and Australia, is also active in clinical research analyses, conducted in the context of drug development on behalf of pharmaceutical companies or, more marginally, on behalf of biotechnology companies. Finally, as a secondary activity, CEL is present in the field of animal medical biology analyses, primarily conducting tests for the detection of bovine spongiform encephalopathy ("BSE") on behalf of slaughterhouses.  </w:t>
        <w:br/>
        <w:t xml:space="preserve">5. CEL achieved a global turnover of [&gt;150] million euros in 2009, the last closed financial year, of which [&gt;50] million euros in France.  </w:t>
        <w:br/>
        <w:t xml:space="preserve">B. THE OPERATION  </w:t>
        <w:br/>
        <w:t xml:space="preserve">6. In accordance with the protocol agreement, the investment fund PAI Europe V, managed by PAI, will ultimately hold [&gt;50]% of the capital and voting rights of Financière Gaillon 12 SAS. The leading investors and executives of CEL will take [&lt;50]% and [&lt;50]% of the capital and voting rights of Financière Gaillon 12 SAS, respectively.  </w:t>
        <w:br/>
        <w:t xml:space="preserve">7. Under Article 2 of the draft shareholders' agreement, all decisions of the supervisory board of Financière Gaillon 12 SAS will be made by a simple majority of its members. However, it is provided in the notified draft that the supervisory board of Financière Gaillon 12 SAS will consist of 5 to 7 members, of which at least 4 members will be appointed by PAI, which will therefore be able to determine the main strategic decisions related to the CEL group, such as the adoption of the annual budget, including the investment and divestment budget, and the related financing plan, as well as any significant modification of said budget during the financial year.  </w:t>
        <w:br/>
        <w:t xml:space="preserve">8. As it results in the exclusive control of CEL by PAI, the notified operation constitutes a concentration within the meaning of Article L. 430-1 of the Commercial Code. Given the turnover of the companies concerned, it does not have a community dimension. However, the control thresholds mentioned in Article L. 430-2 of the Commercial Code are exceeded. The present operation is therefore subject to the provisions of Articles L. 430-3 and following of the Commercial Code relating to economic concentration.  </w:t>
        <w:br/>
        <w:t xml:space="preserve">II. Competitive analysis  </w:t>
        <w:br/>
        <w:t xml:space="preserve">9. PAI does not control any competing company of CEL, nor is it active in an upstream, downstream, or related market. Therefore, the operation is not likely to harm competition.  </w:t>
        <w:br/>
        <w:t xml:space="preserve">DECIDES  </w:t>
        <w:br/>
        <w:t xml:space="preserve">Sole Article: The operation notified under number 10-0082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